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20D7" w14:textId="1A020C1A" w:rsidR="00967203" w:rsidRPr="001559E4" w:rsidRDefault="008D2524" w:rsidP="001559E4">
      <w:pPr>
        <w:spacing w:after="0" w:line="360" w:lineRule="auto"/>
        <w:jc w:val="center"/>
        <w:rPr>
          <w:rFonts w:ascii="Times New Roman" w:hAnsi="Times New Roman"/>
          <w:b/>
          <w:bCs/>
          <w:i/>
          <w:color w:val="000000"/>
          <w:sz w:val="28"/>
          <w:szCs w:val="28"/>
          <w:lang w:eastAsia="id-ID"/>
        </w:rPr>
      </w:pPr>
      <w:r w:rsidRPr="001559E4">
        <w:rPr>
          <w:rFonts w:ascii="Times New Roman" w:hAnsi="Times New Roman"/>
          <w:b/>
          <w:bCs/>
          <w:i/>
          <w:color w:val="000000"/>
          <w:sz w:val="28"/>
          <w:szCs w:val="28"/>
          <w:lang w:eastAsia="id-ID"/>
        </w:rPr>
        <w:t xml:space="preserve">Correlating Nurses’ </w:t>
      </w:r>
      <w:r w:rsidR="004D22EC" w:rsidRPr="001559E4">
        <w:rPr>
          <w:rFonts w:ascii="Times New Roman" w:hAnsi="Times New Roman"/>
          <w:b/>
          <w:bCs/>
          <w:i/>
          <w:color w:val="000000"/>
          <w:sz w:val="28"/>
          <w:szCs w:val="28"/>
          <w:lang w:eastAsia="id-ID"/>
        </w:rPr>
        <w:t xml:space="preserve">Therapeutic Communication </w:t>
      </w:r>
      <w:r w:rsidRPr="001559E4">
        <w:rPr>
          <w:rFonts w:ascii="Times New Roman" w:hAnsi="Times New Roman"/>
          <w:b/>
          <w:bCs/>
          <w:i/>
          <w:color w:val="000000"/>
          <w:sz w:val="28"/>
          <w:szCs w:val="28"/>
          <w:lang w:eastAsia="id-ID"/>
        </w:rPr>
        <w:t xml:space="preserve">Efeectiveness with Inpatient Services Quality: </w:t>
      </w:r>
      <w:r w:rsidR="004D22EC" w:rsidRPr="001559E4">
        <w:rPr>
          <w:rFonts w:ascii="Times New Roman" w:hAnsi="Times New Roman"/>
          <w:b/>
          <w:bCs/>
          <w:i/>
          <w:color w:val="000000"/>
          <w:sz w:val="28"/>
          <w:szCs w:val="28"/>
          <w:lang w:eastAsia="id-ID"/>
        </w:rPr>
        <w:t>Patient Perceptions at Hospital X, Kota Kediri</w:t>
      </w:r>
    </w:p>
    <w:p w14:paraId="25F960D0" w14:textId="77777777" w:rsidR="00922329" w:rsidRPr="00BE5371" w:rsidRDefault="00922329" w:rsidP="001559E4">
      <w:pPr>
        <w:spacing w:after="0" w:line="360" w:lineRule="auto"/>
        <w:jc w:val="center"/>
        <w:rPr>
          <w:rFonts w:ascii="Times New Roman" w:hAnsi="Times New Roman"/>
          <w:b/>
          <w:bCs/>
          <w:color w:val="000000"/>
          <w:lang w:eastAsia="id-ID"/>
        </w:rPr>
      </w:pPr>
    </w:p>
    <w:p w14:paraId="7CB00A1E" w14:textId="7B021482" w:rsidR="0035118B" w:rsidRPr="00BE5371" w:rsidRDefault="0006584F" w:rsidP="001559E4">
      <w:pPr>
        <w:spacing w:after="0" w:line="360" w:lineRule="auto"/>
        <w:jc w:val="center"/>
        <w:rPr>
          <w:rFonts w:ascii="Times New Roman" w:hAnsi="Times New Roman"/>
          <w:b/>
          <w:bCs/>
          <w:color w:val="000000"/>
          <w:vertAlign w:val="superscript"/>
          <w:lang w:eastAsia="id-ID"/>
        </w:rPr>
      </w:pPr>
      <w:r w:rsidRPr="00BE5371">
        <w:rPr>
          <w:rFonts w:ascii="Times New Roman" w:hAnsi="Times New Roman"/>
          <w:b/>
          <w:bCs/>
          <w:color w:val="000000"/>
          <w:lang w:eastAsia="id-ID"/>
        </w:rPr>
        <w:t>David Raditya Soehartono</w:t>
      </w:r>
      <w:r w:rsidR="007E56CA" w:rsidRPr="00BE5371">
        <w:rPr>
          <w:rFonts w:ascii="Times New Roman" w:hAnsi="Times New Roman"/>
          <w:b/>
          <w:bCs/>
          <w:color w:val="000000"/>
          <w:vertAlign w:val="superscript"/>
          <w:lang w:eastAsia="id-ID"/>
        </w:rPr>
        <w:t>1)</w:t>
      </w:r>
      <w:r w:rsidR="00FA52A4" w:rsidRPr="00BE5371">
        <w:rPr>
          <w:rFonts w:ascii="Times New Roman" w:hAnsi="Times New Roman"/>
          <w:b/>
          <w:bCs/>
          <w:color w:val="000000"/>
          <w:vertAlign w:val="superscript"/>
          <w:lang w:eastAsia="id-ID"/>
        </w:rPr>
        <w:t>*</w:t>
      </w:r>
      <w:r w:rsidR="00591009" w:rsidRPr="00BE5371">
        <w:rPr>
          <w:rFonts w:ascii="Times New Roman" w:hAnsi="Times New Roman"/>
          <w:b/>
          <w:bCs/>
          <w:color w:val="000000"/>
          <w:lang w:eastAsia="id-ID"/>
        </w:rPr>
        <w:t>, Salmaqonita Khusnul Irvani Sari</w:t>
      </w:r>
      <w:r w:rsidR="00591009" w:rsidRPr="00BE5371">
        <w:rPr>
          <w:rFonts w:ascii="Times New Roman" w:hAnsi="Times New Roman"/>
          <w:b/>
          <w:bCs/>
          <w:color w:val="000000"/>
          <w:vertAlign w:val="superscript"/>
          <w:lang w:eastAsia="id-ID"/>
        </w:rPr>
        <w:t>2</w:t>
      </w:r>
      <w:r w:rsidR="00591009" w:rsidRPr="00BE5371">
        <w:rPr>
          <w:rFonts w:ascii="Times New Roman" w:hAnsi="Times New Roman"/>
          <w:b/>
          <w:bCs/>
          <w:color w:val="000000"/>
          <w:lang w:eastAsia="id-ID"/>
        </w:rPr>
        <w:t>, Sahat Manampin Siahaan</w:t>
      </w:r>
      <w:r w:rsidR="00591009" w:rsidRPr="00BE5371">
        <w:rPr>
          <w:rFonts w:ascii="Times New Roman" w:hAnsi="Times New Roman"/>
          <w:b/>
          <w:bCs/>
          <w:color w:val="000000"/>
          <w:vertAlign w:val="superscript"/>
          <w:lang w:eastAsia="id-ID"/>
        </w:rPr>
        <w:t>3</w:t>
      </w:r>
      <w:r w:rsidR="00591009" w:rsidRPr="00BE5371">
        <w:rPr>
          <w:rFonts w:ascii="Times New Roman" w:hAnsi="Times New Roman"/>
          <w:b/>
          <w:bCs/>
          <w:color w:val="000000"/>
          <w:lang w:eastAsia="id-ID"/>
        </w:rPr>
        <w:t>, Safari Hasan</w:t>
      </w:r>
      <w:r w:rsidR="00591009" w:rsidRPr="00BE5371">
        <w:rPr>
          <w:rFonts w:ascii="Times New Roman" w:hAnsi="Times New Roman"/>
          <w:b/>
          <w:bCs/>
          <w:color w:val="000000"/>
          <w:vertAlign w:val="superscript"/>
          <w:lang w:eastAsia="id-ID"/>
        </w:rPr>
        <w:t>4</w:t>
      </w:r>
      <w:r w:rsidR="00591009" w:rsidRPr="00BE5371">
        <w:rPr>
          <w:rFonts w:ascii="Times New Roman" w:hAnsi="Times New Roman"/>
          <w:b/>
          <w:bCs/>
          <w:color w:val="000000"/>
          <w:lang w:eastAsia="id-ID"/>
        </w:rPr>
        <w:t>, Agus Sulistiawan</w:t>
      </w:r>
      <w:r w:rsidR="00591009" w:rsidRPr="00BE5371">
        <w:rPr>
          <w:rFonts w:ascii="Times New Roman" w:hAnsi="Times New Roman"/>
          <w:b/>
          <w:bCs/>
          <w:color w:val="000000"/>
          <w:vertAlign w:val="superscript"/>
          <w:lang w:eastAsia="id-ID"/>
        </w:rPr>
        <w:t>5</w:t>
      </w:r>
      <w:r w:rsidR="00922329" w:rsidRPr="00BE5371">
        <w:rPr>
          <w:rFonts w:ascii="Times New Roman" w:hAnsi="Times New Roman"/>
          <w:b/>
          <w:bCs/>
          <w:color w:val="000000"/>
          <w:lang w:eastAsia="id-ID"/>
        </w:rPr>
        <w:t>, Anggraini Dyah Setiyarini</w:t>
      </w:r>
      <w:r w:rsidR="00922329" w:rsidRPr="00BE5371">
        <w:rPr>
          <w:rFonts w:ascii="Times New Roman" w:hAnsi="Times New Roman"/>
          <w:b/>
          <w:bCs/>
          <w:color w:val="000000"/>
          <w:vertAlign w:val="superscript"/>
          <w:lang w:eastAsia="id-ID"/>
        </w:rPr>
        <w:t>6</w:t>
      </w:r>
    </w:p>
    <w:p w14:paraId="50FAC789" w14:textId="77777777" w:rsidR="00922329" w:rsidRPr="00BE5371" w:rsidRDefault="00922329" w:rsidP="001559E4">
      <w:pPr>
        <w:spacing w:after="0" w:line="360" w:lineRule="auto"/>
        <w:jc w:val="center"/>
        <w:rPr>
          <w:rFonts w:ascii="Times New Roman" w:hAnsi="Times New Roman"/>
          <w:b/>
          <w:bCs/>
          <w:color w:val="000000"/>
          <w:lang w:eastAsia="id-ID"/>
        </w:rPr>
      </w:pPr>
    </w:p>
    <w:p w14:paraId="0881200E" w14:textId="2708EAB6" w:rsidR="0035118B" w:rsidRPr="00BE5371" w:rsidRDefault="007E56CA" w:rsidP="001559E4">
      <w:pPr>
        <w:spacing w:after="0" w:line="360" w:lineRule="auto"/>
        <w:jc w:val="center"/>
        <w:rPr>
          <w:rFonts w:ascii="Times New Roman" w:hAnsi="Times New Roman"/>
          <w:color w:val="000000"/>
          <w:lang w:eastAsia="id-ID"/>
        </w:rPr>
      </w:pPr>
      <w:r w:rsidRPr="00BE5371">
        <w:rPr>
          <w:rFonts w:ascii="Times New Roman" w:hAnsi="Times New Roman"/>
          <w:color w:val="000000"/>
          <w:vertAlign w:val="superscript"/>
          <w:lang w:eastAsia="id-ID"/>
        </w:rPr>
        <w:t>1</w:t>
      </w:r>
      <w:r w:rsidR="00BE5371" w:rsidRPr="00BE5371">
        <w:rPr>
          <w:rFonts w:ascii="Times New Roman" w:hAnsi="Times New Roman"/>
          <w:color w:val="000000"/>
          <w:vertAlign w:val="superscript"/>
          <w:lang w:val="en-US" w:eastAsia="id-ID"/>
        </w:rPr>
        <w:t>-6</w:t>
      </w:r>
      <w:r w:rsidR="0006584F" w:rsidRPr="00BE5371">
        <w:rPr>
          <w:rFonts w:ascii="Times New Roman" w:hAnsi="Times New Roman"/>
          <w:color w:val="000000"/>
          <w:lang w:eastAsia="id-ID"/>
        </w:rPr>
        <w:t>Institut Ilmu Kesehatan Bhakti Wiyata Kediri</w:t>
      </w:r>
      <w:r w:rsidRPr="00BE5371">
        <w:rPr>
          <w:rFonts w:ascii="Times New Roman" w:hAnsi="Times New Roman"/>
          <w:color w:val="000000"/>
          <w:lang w:eastAsia="id-ID"/>
        </w:rPr>
        <w:t xml:space="preserve"> </w:t>
      </w:r>
      <w:r w:rsidR="00A5770B" w:rsidRPr="00BE5371">
        <w:rPr>
          <w:rFonts w:ascii="Times New Roman" w:hAnsi="Times New Roman"/>
          <w:color w:val="000000"/>
          <w:lang w:eastAsia="id-ID"/>
        </w:rPr>
        <w:t xml:space="preserve">– </w:t>
      </w:r>
      <w:r w:rsidR="0006584F" w:rsidRPr="00BE5371">
        <w:rPr>
          <w:rFonts w:ascii="Times New Roman" w:hAnsi="Times New Roman"/>
          <w:color w:val="000000"/>
          <w:lang w:eastAsia="id-ID"/>
        </w:rPr>
        <w:t>Jl. KH Wachid Hasyim No.65, Bandar Lor, Kediri, Kota Kediri, Jawa Timur 64114, Indonesia</w:t>
      </w:r>
    </w:p>
    <w:p w14:paraId="7F23ADA4" w14:textId="45544579" w:rsidR="004D22EC" w:rsidRDefault="00BE5371" w:rsidP="001559E4">
      <w:pPr>
        <w:spacing w:after="0" w:line="360" w:lineRule="auto"/>
        <w:jc w:val="center"/>
        <w:rPr>
          <w:rFonts w:ascii="Times New Roman" w:hAnsi="Times New Roman"/>
          <w:color w:val="000000"/>
          <w:lang w:eastAsia="id-ID"/>
        </w:rPr>
      </w:pPr>
      <w:r w:rsidRPr="00BE5371">
        <w:rPr>
          <w:rFonts w:ascii="Times New Roman" w:hAnsi="Times New Roman"/>
          <w:color w:val="000000"/>
          <w:lang w:eastAsia="id-ID"/>
        </w:rPr>
        <w:t>*</w:t>
      </w:r>
      <w:r w:rsidR="007E56CA" w:rsidRPr="00BE5371">
        <w:rPr>
          <w:rFonts w:ascii="Times New Roman" w:hAnsi="Times New Roman"/>
          <w:color w:val="000000"/>
          <w:lang w:eastAsia="id-ID"/>
        </w:rPr>
        <w:t xml:space="preserve">email: </w:t>
      </w:r>
      <w:r w:rsidR="0006584F" w:rsidRPr="00BE5371">
        <w:rPr>
          <w:rFonts w:ascii="Times New Roman" w:hAnsi="Times New Roman"/>
          <w:i/>
          <w:color w:val="000000"/>
          <w:lang w:eastAsia="id-ID"/>
        </w:rPr>
        <w:t>davidrs@iik.ac.id</w:t>
      </w:r>
      <w:r w:rsidR="0006584F" w:rsidRPr="00BE5371">
        <w:rPr>
          <w:rFonts w:ascii="Times New Roman" w:hAnsi="Times New Roman"/>
          <w:i/>
          <w:color w:val="000000"/>
          <w:u w:val="single"/>
          <w:lang w:eastAsia="id-ID"/>
        </w:rPr>
        <w:t xml:space="preserve"> </w:t>
      </w:r>
    </w:p>
    <w:p w14:paraId="4CFA1497" w14:textId="77777777" w:rsidR="001559E4" w:rsidRPr="001559E4" w:rsidRDefault="001559E4" w:rsidP="001559E4">
      <w:pPr>
        <w:spacing w:after="0" w:line="360" w:lineRule="auto"/>
        <w:jc w:val="center"/>
        <w:rPr>
          <w:rFonts w:ascii="Times New Roman" w:hAnsi="Times New Roman"/>
          <w:color w:val="000000"/>
          <w:lang w:eastAsia="id-ID"/>
        </w:rPr>
      </w:pPr>
    </w:p>
    <w:p w14:paraId="46CD916C" w14:textId="6EAE0CA4" w:rsidR="00BE5371" w:rsidRPr="00BE5371" w:rsidRDefault="00BE5371" w:rsidP="001559E4">
      <w:pPr>
        <w:spacing w:after="0" w:line="360" w:lineRule="auto"/>
        <w:jc w:val="both"/>
        <w:rPr>
          <w:rFonts w:ascii="Times New Roman" w:hAnsi="Times New Roman"/>
          <w:bCs/>
          <w:iCs/>
          <w:color w:val="000000"/>
          <w:lang w:val="en-US" w:eastAsia="id-ID"/>
        </w:rPr>
      </w:pPr>
      <w:r w:rsidRPr="00BE5371">
        <w:rPr>
          <w:rFonts w:ascii="Times New Roman" w:hAnsi="Times New Roman"/>
          <w:b/>
          <w:bCs/>
          <w:iCs/>
          <w:color w:val="000000"/>
          <w:lang w:val="en-US" w:eastAsia="id-ID"/>
        </w:rPr>
        <w:t xml:space="preserve">Abstrak: </w:t>
      </w:r>
      <w:r w:rsidRPr="00BE5371">
        <w:rPr>
          <w:rFonts w:ascii="Times New Roman" w:hAnsi="Times New Roman"/>
          <w:bCs/>
          <w:iCs/>
          <w:color w:val="000000"/>
          <w:lang w:val="en-US" w:eastAsia="id-ID"/>
        </w:rPr>
        <w:t>Layanan rumah sakit yang berkualitas merupakan hasil interaksi berbagai sumber daya di dalam rumah sakit, salah satunya adalah perawat sebagai pemberi layanan kesehatan. Di Indonesia, kualitas layanan keperawatan juga dipengaruhi oleh komunikasi terapeutik. Komunikasi terapeutik antara tenaga kesehatan dan pasien dinilai baik. Ketika tenaga medis mampu menyampaikan informasi secara jelas, empatik, dan terbuka, pasien merasa dihargai serta memiliki pemahaman yang lebih baik mengenai kondisi kesehatan dan rencana pengobatan mereka</w:t>
      </w:r>
      <w:r w:rsidR="0047140C">
        <w:rPr>
          <w:rFonts w:ascii="Times New Roman" w:hAnsi="Times New Roman"/>
          <w:bCs/>
          <w:iCs/>
          <w:color w:val="000000"/>
          <w:lang w:val="en-US" w:eastAsia="id-ID"/>
        </w:rPr>
        <w:t xml:space="preserve">. </w:t>
      </w:r>
      <w:r w:rsidRPr="00BE5371">
        <w:rPr>
          <w:rFonts w:ascii="Times New Roman" w:hAnsi="Times New Roman"/>
          <w:bCs/>
          <w:iCs/>
          <w:color w:val="000000"/>
          <w:lang w:val="en-US" w:eastAsia="id-ID"/>
        </w:rPr>
        <w:t xml:space="preserve">Penelitian ini bertujuan untuk mengetahui apakah terdapat hubungan antara kualitas layanan rawat inap dan efektivitas komunikasi terapeutik perawat. Penelitian ini menggunakan desain penelitian analitik observasional kuantitatif dengan pendekatan </w:t>
      </w:r>
      <w:r w:rsidRPr="00BE5371">
        <w:rPr>
          <w:rFonts w:ascii="Times New Roman" w:hAnsi="Times New Roman"/>
          <w:bCs/>
          <w:i/>
          <w:iCs/>
          <w:color w:val="000000"/>
          <w:lang w:val="en-US" w:eastAsia="id-ID"/>
        </w:rPr>
        <w:t>cross-sectional</w:t>
      </w:r>
      <w:r w:rsidRPr="00BE5371">
        <w:rPr>
          <w:rFonts w:ascii="Times New Roman" w:hAnsi="Times New Roman"/>
          <w:bCs/>
          <w:iCs/>
          <w:color w:val="000000"/>
          <w:lang w:val="en-US" w:eastAsia="id-ID"/>
        </w:rPr>
        <w:t xml:space="preserve">. Strategi pengambilan sampel yang digunakan dalam penelitian ini adalah </w:t>
      </w:r>
      <w:r w:rsidRPr="00BE5371">
        <w:rPr>
          <w:rFonts w:ascii="Times New Roman" w:hAnsi="Times New Roman"/>
          <w:bCs/>
          <w:i/>
          <w:iCs/>
          <w:color w:val="000000"/>
          <w:lang w:val="en-US" w:eastAsia="id-ID"/>
        </w:rPr>
        <w:t>cluster random sampling</w:t>
      </w:r>
      <w:r w:rsidRPr="00BE5371">
        <w:rPr>
          <w:rFonts w:ascii="Times New Roman" w:hAnsi="Times New Roman"/>
          <w:bCs/>
          <w:iCs/>
          <w:color w:val="000000"/>
          <w:lang w:val="en-US" w:eastAsia="id-ID"/>
        </w:rPr>
        <w:t>. Ruang perawatan yang dilibatkan dalam penelitian ini meliputi Cendana, Flamboyan, Seruni, Melati, Bugenville, Anggrek, dan Teratai. Sebanyak 15 sampel diambil dari setiap ruangan, sehingga total sampel berjumlah 105 responden. Hasil penelitian menunjukkan bahwa berdasarkan persepsi pasien di Rumah Sakit X, Kota Kediri, terdapat hubungan antara kualitas layanan rawat inap dan efektivitas komunikasi terapeutik perawat. Nilai p (</w:t>
      </w:r>
      <w:r w:rsidRPr="00BE5371">
        <w:rPr>
          <w:rFonts w:ascii="Times New Roman" w:hAnsi="Times New Roman"/>
          <w:bCs/>
          <w:i/>
          <w:iCs/>
          <w:color w:val="000000"/>
          <w:lang w:val="en-US" w:eastAsia="id-ID"/>
        </w:rPr>
        <w:t>p-value</w:t>
      </w:r>
      <w:r w:rsidRPr="00BE5371">
        <w:rPr>
          <w:rFonts w:ascii="Times New Roman" w:hAnsi="Times New Roman"/>
          <w:bCs/>
          <w:iCs/>
          <w:color w:val="000000"/>
          <w:lang w:val="en-US" w:eastAsia="id-ID"/>
        </w:rPr>
        <w:t>) dari uji statistik penelitian ini adalah 0,000 (&lt;0,05). Kesimpulannya, berdasarkan pendapat pasien di Rumah Sakit X, Kabupaten Kediri, terdapat hubungan antara kualitas layanan rawat inap dan efektivitas komunikasi terapeutik perawat.</w:t>
      </w:r>
    </w:p>
    <w:p w14:paraId="5040133C" w14:textId="77777777" w:rsidR="00BE5371" w:rsidRPr="00BE5371" w:rsidRDefault="00BE5371" w:rsidP="001559E4">
      <w:pPr>
        <w:spacing w:after="0" w:line="360" w:lineRule="auto"/>
        <w:jc w:val="both"/>
        <w:rPr>
          <w:rFonts w:ascii="Times New Roman" w:hAnsi="Times New Roman"/>
          <w:bCs/>
          <w:iCs/>
          <w:color w:val="000000"/>
          <w:lang w:val="en-US" w:eastAsia="id-ID"/>
        </w:rPr>
      </w:pPr>
    </w:p>
    <w:p w14:paraId="578F9C45" w14:textId="04258580" w:rsidR="00BE5371" w:rsidRPr="00BE5371" w:rsidRDefault="00BE5371" w:rsidP="001559E4">
      <w:pPr>
        <w:spacing w:after="0" w:line="360" w:lineRule="auto"/>
        <w:jc w:val="both"/>
        <w:rPr>
          <w:rFonts w:ascii="Times New Roman" w:hAnsi="Times New Roman"/>
          <w:bCs/>
          <w:iCs/>
          <w:color w:val="000000"/>
          <w:lang w:val="en-US" w:eastAsia="id-ID"/>
        </w:rPr>
      </w:pPr>
      <w:r w:rsidRPr="00BE5371">
        <w:rPr>
          <w:rFonts w:ascii="Times New Roman" w:hAnsi="Times New Roman"/>
          <w:b/>
          <w:bCs/>
          <w:iCs/>
          <w:color w:val="000000"/>
          <w:lang w:val="en-US" w:eastAsia="id-ID"/>
        </w:rPr>
        <w:t>Kata kunci:</w:t>
      </w:r>
      <w:r w:rsidRPr="00BE5371">
        <w:rPr>
          <w:rFonts w:ascii="Times New Roman" w:hAnsi="Times New Roman"/>
          <w:bCs/>
          <w:iCs/>
          <w:color w:val="000000"/>
          <w:lang w:val="en-US" w:eastAsia="id-ID"/>
        </w:rPr>
        <w:t xml:space="preserve"> komunikasi terapeutik, kualitas layanan</w:t>
      </w:r>
      <w:r w:rsidR="00EB137A">
        <w:rPr>
          <w:rFonts w:ascii="Times New Roman" w:hAnsi="Times New Roman"/>
          <w:bCs/>
          <w:iCs/>
          <w:color w:val="000000"/>
          <w:lang w:val="en-US" w:eastAsia="id-ID"/>
        </w:rPr>
        <w:t xml:space="preserve">, presepsi pasien, perawat, </w:t>
      </w:r>
      <w:r w:rsidR="00084C70">
        <w:rPr>
          <w:rFonts w:ascii="Times New Roman" w:hAnsi="Times New Roman"/>
          <w:bCs/>
          <w:iCs/>
          <w:color w:val="000000"/>
          <w:lang w:val="en-US" w:eastAsia="id-ID"/>
        </w:rPr>
        <w:t>informasi kesehatan</w:t>
      </w:r>
    </w:p>
    <w:p w14:paraId="3B6AE333" w14:textId="77777777" w:rsidR="00BE5371" w:rsidRPr="00BE5371" w:rsidRDefault="00BE5371" w:rsidP="001559E4">
      <w:pPr>
        <w:spacing w:after="0" w:line="360" w:lineRule="auto"/>
        <w:jc w:val="both"/>
        <w:rPr>
          <w:rFonts w:ascii="Times New Roman" w:hAnsi="Times New Roman"/>
          <w:b/>
          <w:bCs/>
          <w:i/>
          <w:iCs/>
          <w:color w:val="000000"/>
          <w:lang w:val="en-US" w:eastAsia="id-ID"/>
        </w:rPr>
      </w:pPr>
    </w:p>
    <w:p w14:paraId="7CC534F5" w14:textId="294561C5" w:rsidR="00DF295C" w:rsidRPr="00BE5371" w:rsidRDefault="00BE5371" w:rsidP="001559E4">
      <w:pPr>
        <w:spacing w:after="0" w:line="360" w:lineRule="auto"/>
        <w:jc w:val="both"/>
        <w:rPr>
          <w:rFonts w:ascii="Times New Roman" w:hAnsi="Times New Roman"/>
          <w:i/>
          <w:iCs/>
        </w:rPr>
      </w:pPr>
      <w:r w:rsidRPr="00BE5371">
        <w:rPr>
          <w:rFonts w:ascii="Times New Roman" w:hAnsi="Times New Roman"/>
          <w:b/>
          <w:bCs/>
          <w:i/>
          <w:iCs/>
          <w:color w:val="000000"/>
          <w:lang w:val="en-US" w:eastAsia="id-ID"/>
        </w:rPr>
        <w:t xml:space="preserve">Abstract : </w:t>
      </w:r>
      <w:r w:rsidR="00D52EFC" w:rsidRPr="00BE5371">
        <w:rPr>
          <w:rFonts w:ascii="Times New Roman" w:hAnsi="Times New Roman"/>
          <w:i/>
          <w:iCs/>
        </w:rPr>
        <w:t>Good quality hospital services are the result of the interaction of various resources within the hospital, one of which are nurses as healthcare providers. In Indonesia, the quality of nursing services is also influenced by therapeutic communication</w:t>
      </w:r>
      <w:r w:rsidR="008D2524" w:rsidRPr="00BE5371">
        <w:rPr>
          <w:rFonts w:ascii="Times New Roman" w:hAnsi="Times New Roman"/>
          <w:i/>
          <w:iCs/>
        </w:rPr>
        <w:t xml:space="preserve">. </w:t>
      </w:r>
      <w:r w:rsidR="00D52EFC" w:rsidRPr="00BE5371">
        <w:rPr>
          <w:rFonts w:ascii="Times New Roman" w:hAnsi="Times New Roman"/>
          <w:i/>
          <w:iCs/>
        </w:rPr>
        <w:t xml:space="preserve">Therapeutic communication </w:t>
      </w:r>
      <w:r w:rsidR="00D52EFC" w:rsidRPr="00BE5371">
        <w:rPr>
          <w:rFonts w:ascii="Times New Roman" w:hAnsi="Times New Roman"/>
          <w:i/>
          <w:iCs/>
        </w:rPr>
        <w:lastRenderedPageBreak/>
        <w:t>between healthcare workers and patients is considered good. When medical personnel are able to convey information clearly, empathetically, and openly, patients feel valued and have a better understanding of their health condition and the treatment plan.</w:t>
      </w:r>
      <w:r w:rsidR="00EB137A">
        <w:rPr>
          <w:rFonts w:ascii="Times New Roman" w:hAnsi="Times New Roman"/>
          <w:i/>
          <w:iCs/>
        </w:rPr>
        <w:t xml:space="preserve"> </w:t>
      </w:r>
      <w:r w:rsidR="00EB16B3" w:rsidRPr="00BE5371">
        <w:rPr>
          <w:rFonts w:ascii="Times New Roman" w:eastAsia="Times New Roman" w:hAnsi="Times New Roman"/>
          <w:i/>
          <w:iCs/>
          <w:lang w:val="en-US"/>
        </w:rPr>
        <w:t>Based on patient opinions at Hospital X, Kediri Regency, this study attempts to ascertain whether there is a connection between the quality of inpatient services and the efficacy of nurses' therapeutic communication.</w:t>
      </w:r>
      <w:r w:rsidR="00EB16B3" w:rsidRPr="00BE5371">
        <w:rPr>
          <w:rFonts w:ascii="Times New Roman" w:hAnsi="Times New Roman"/>
          <w:i/>
          <w:iCs/>
        </w:rPr>
        <w:t xml:space="preserve"> </w:t>
      </w:r>
      <w:r w:rsidR="00EB16B3" w:rsidRPr="00BE5371">
        <w:rPr>
          <w:rFonts w:ascii="Times New Roman" w:eastAsia="Times New Roman" w:hAnsi="Times New Roman"/>
          <w:i/>
          <w:iCs/>
          <w:lang w:val="en-US"/>
        </w:rPr>
        <w:t xml:space="preserve">This study implemented a cross-sectional quantitative observational analytical research design. Cluster random sampling was the sampling strategy employed in this investigation. Cendana, Flamboyan, Seruni, Melati, Bugenville, Anggrek, and Teratai are the names of the rooms used in this study. 15 samples were gathered from each room. The sample size was 105. </w:t>
      </w:r>
      <w:r w:rsidRPr="00BE5371">
        <w:rPr>
          <w:rFonts w:ascii="Times New Roman" w:hAnsi="Times New Roman"/>
          <w:bCs/>
          <w:i/>
          <w:iCs/>
          <w:lang w:val="en-US"/>
        </w:rPr>
        <w:t>The result is</w:t>
      </w:r>
      <w:r w:rsidR="004D22EC" w:rsidRPr="00BE5371">
        <w:rPr>
          <w:rFonts w:ascii="Times New Roman" w:hAnsi="Times New Roman"/>
          <w:i/>
          <w:iCs/>
        </w:rPr>
        <w:t xml:space="preserve"> </w:t>
      </w:r>
      <w:r w:rsidR="00EB16B3" w:rsidRPr="00BE5371">
        <w:rPr>
          <w:rFonts w:ascii="Times New Roman" w:hAnsi="Times New Roman"/>
          <w:i/>
          <w:iCs/>
        </w:rPr>
        <w:t xml:space="preserve">Based on patient perceptions at Hospital X, Kota Kediri, it can be established that there is a relationship between the quality of inpatient services and the efficacy of nurses' therapeutic communication. The study's statistical test p-value was 0.000 (&lt;0.005). </w:t>
      </w:r>
      <w:r w:rsidRPr="00BE5371">
        <w:rPr>
          <w:rFonts w:ascii="Times New Roman" w:hAnsi="Times New Roman"/>
          <w:i/>
          <w:iCs/>
          <w:lang w:val="en-US"/>
        </w:rPr>
        <w:t xml:space="preserve">The </w:t>
      </w:r>
      <w:r w:rsidRPr="00BE5371">
        <w:rPr>
          <w:rFonts w:ascii="Times New Roman" w:hAnsi="Times New Roman"/>
          <w:bCs/>
          <w:i/>
          <w:iCs/>
        </w:rPr>
        <w:t>Conclusi</w:t>
      </w:r>
      <w:r w:rsidRPr="00BE5371">
        <w:rPr>
          <w:rFonts w:ascii="Times New Roman" w:hAnsi="Times New Roman"/>
          <w:bCs/>
          <w:i/>
          <w:iCs/>
          <w:lang w:val="en-US"/>
        </w:rPr>
        <w:t xml:space="preserve">on is </w:t>
      </w:r>
      <w:r w:rsidR="004D22EC" w:rsidRPr="00BE5371">
        <w:rPr>
          <w:rFonts w:ascii="Times New Roman" w:eastAsia="Times New Roman" w:hAnsi="Times New Roman"/>
          <w:i/>
          <w:iCs/>
          <w:lang w:val="en-US"/>
        </w:rPr>
        <w:t xml:space="preserve"> </w:t>
      </w:r>
      <w:r w:rsidR="00DF295C" w:rsidRPr="00BE5371">
        <w:rPr>
          <w:rFonts w:ascii="Times New Roman" w:eastAsia="Times New Roman" w:hAnsi="Times New Roman"/>
          <w:i/>
          <w:iCs/>
          <w:lang w:val="en-US"/>
        </w:rPr>
        <w:t>Based on patient opinions at Hospital X, Kediri Regency, there is an attachment between the quality of inpatient treatments and the efficacy of nurses' therapeutic communication.</w:t>
      </w:r>
    </w:p>
    <w:p w14:paraId="30F4B255" w14:textId="77777777" w:rsidR="001559E4" w:rsidRDefault="001559E4" w:rsidP="001559E4">
      <w:pPr>
        <w:spacing w:after="0" w:line="360" w:lineRule="auto"/>
        <w:ind w:left="993" w:hanging="993"/>
        <w:jc w:val="both"/>
        <w:rPr>
          <w:rFonts w:ascii="Times New Roman" w:hAnsi="Times New Roman"/>
          <w:b/>
          <w:bCs/>
          <w:i/>
          <w:iCs/>
          <w:color w:val="000000"/>
          <w:lang w:eastAsia="id-ID"/>
        </w:rPr>
      </w:pPr>
    </w:p>
    <w:p w14:paraId="7CF835C4" w14:textId="44A76993" w:rsidR="0035118B" w:rsidRPr="00BE5371" w:rsidRDefault="007E56CA" w:rsidP="001559E4">
      <w:pPr>
        <w:spacing w:after="0" w:line="360" w:lineRule="auto"/>
        <w:ind w:left="993" w:hanging="993"/>
        <w:jc w:val="both"/>
        <w:rPr>
          <w:rFonts w:ascii="Times New Roman" w:hAnsi="Times New Roman"/>
          <w:color w:val="000000"/>
          <w:lang w:eastAsia="id-ID"/>
        </w:rPr>
      </w:pPr>
      <w:r w:rsidRPr="00BE5371">
        <w:rPr>
          <w:rFonts w:ascii="Times New Roman" w:hAnsi="Times New Roman"/>
          <w:b/>
          <w:bCs/>
          <w:i/>
          <w:iCs/>
          <w:color w:val="000000"/>
          <w:lang w:eastAsia="id-ID"/>
        </w:rPr>
        <w:t>Keywords</w:t>
      </w:r>
      <w:r w:rsidRPr="00BE5371">
        <w:rPr>
          <w:rFonts w:ascii="Times New Roman" w:hAnsi="Times New Roman"/>
          <w:b/>
          <w:i/>
          <w:iCs/>
          <w:color w:val="000000"/>
          <w:lang w:eastAsia="id-ID"/>
        </w:rPr>
        <w:t>:</w:t>
      </w:r>
      <w:r w:rsidRPr="00BE5371">
        <w:rPr>
          <w:rFonts w:ascii="Times New Roman" w:hAnsi="Times New Roman"/>
          <w:i/>
          <w:iCs/>
          <w:color w:val="000000"/>
          <w:lang w:eastAsia="id-ID"/>
        </w:rPr>
        <w:t xml:space="preserve"> </w:t>
      </w:r>
      <w:r w:rsidR="004D22EC" w:rsidRPr="00BE5371">
        <w:rPr>
          <w:rFonts w:ascii="Times New Roman" w:hAnsi="Times New Roman"/>
          <w:i/>
          <w:iCs/>
          <w:color w:val="000000"/>
          <w:lang w:eastAsia="id-ID"/>
        </w:rPr>
        <w:t>therapeutic communication, quality of service</w:t>
      </w:r>
      <w:r w:rsidR="00EB137A">
        <w:rPr>
          <w:rFonts w:ascii="Times New Roman" w:hAnsi="Times New Roman"/>
          <w:i/>
          <w:iCs/>
          <w:color w:val="000000"/>
          <w:lang w:eastAsia="id-ID"/>
        </w:rPr>
        <w:t xml:space="preserve">, patient preceptions, nurses, </w:t>
      </w:r>
      <w:r w:rsidR="00084C70">
        <w:rPr>
          <w:rFonts w:ascii="Times New Roman" w:hAnsi="Times New Roman"/>
          <w:i/>
          <w:iCs/>
          <w:color w:val="000000"/>
          <w:lang w:eastAsia="id-ID"/>
        </w:rPr>
        <w:t>health information</w:t>
      </w:r>
    </w:p>
    <w:p w14:paraId="5933A187" w14:textId="77777777" w:rsidR="008D0B05" w:rsidRPr="00BE5371" w:rsidRDefault="008D0B05" w:rsidP="001559E4">
      <w:pPr>
        <w:spacing w:after="0" w:line="360" w:lineRule="auto"/>
        <w:jc w:val="both"/>
        <w:rPr>
          <w:rFonts w:ascii="Times New Roman" w:hAnsi="Times New Roman"/>
          <w:color w:val="000000"/>
          <w:lang w:eastAsia="id-ID"/>
        </w:rPr>
      </w:pPr>
    </w:p>
    <w:p w14:paraId="6B8F90B4" w14:textId="77777777" w:rsidR="004D22EC" w:rsidRPr="00BE5371" w:rsidRDefault="004D22EC" w:rsidP="001559E4">
      <w:pPr>
        <w:spacing w:after="0" w:line="360" w:lineRule="auto"/>
        <w:rPr>
          <w:rFonts w:ascii="Times New Roman" w:eastAsia="Times New Roman" w:hAnsi="Times New Roman"/>
          <w:b/>
          <w:color w:val="000000"/>
          <w:sz w:val="24"/>
          <w:szCs w:val="24"/>
        </w:rPr>
      </w:pPr>
      <w:r w:rsidRPr="00BE5371">
        <w:rPr>
          <w:rFonts w:ascii="Times New Roman" w:eastAsia="Times New Roman" w:hAnsi="Times New Roman"/>
          <w:b/>
          <w:color w:val="000000"/>
          <w:sz w:val="24"/>
          <w:szCs w:val="24"/>
        </w:rPr>
        <w:t>INTRODUCTION</w:t>
      </w:r>
      <w:r w:rsidRPr="00BE5371">
        <w:rPr>
          <w:rFonts w:ascii="Times New Roman" w:eastAsia="Times New Roman" w:hAnsi="Times New Roman"/>
          <w:b/>
          <w:color w:val="000000"/>
          <w:sz w:val="24"/>
          <w:szCs w:val="24"/>
        </w:rPr>
        <w:tab/>
      </w:r>
    </w:p>
    <w:p w14:paraId="1FB8DDB8" w14:textId="6361329C" w:rsidR="00F83FA1" w:rsidRPr="00F83FA1" w:rsidRDefault="00622526" w:rsidP="001559E4">
      <w:pPr>
        <w:spacing w:after="0" w:line="360" w:lineRule="auto"/>
        <w:ind w:firstLine="425"/>
        <w:jc w:val="both"/>
        <w:rPr>
          <w:rFonts w:ascii="Times New Roman" w:hAnsi="Times New Roman"/>
          <w:sz w:val="28"/>
          <w:szCs w:val="28"/>
        </w:rPr>
      </w:pPr>
      <w:r w:rsidRPr="00BE5371">
        <w:rPr>
          <w:rFonts w:ascii="Times New Roman" w:hAnsi="Times New Roman"/>
          <w:sz w:val="24"/>
          <w:szCs w:val="24"/>
          <w:lang w:eastAsia="id-ID"/>
        </w:rPr>
        <w:t xml:space="preserve">Quality is a constant focus in running an organization, especially in the service sector, such as hospitals. </w:t>
      </w:r>
      <w:r w:rsidR="00DF295C" w:rsidRPr="00BE5371">
        <w:rPr>
          <w:rFonts w:ascii="Times New Roman" w:hAnsi="Times New Roman"/>
          <w:sz w:val="24"/>
          <w:szCs w:val="24"/>
        </w:rPr>
        <w:t xml:space="preserve">Every patient feels satisfied since the quality of healthcare facilities represents the degree of excellence in standard medical care. </w:t>
      </w:r>
      <w:r w:rsidRPr="00BE5371">
        <w:rPr>
          <w:rFonts w:ascii="Times New Roman" w:hAnsi="Times New Roman"/>
          <w:sz w:val="24"/>
          <w:szCs w:val="24"/>
        </w:rPr>
        <w:t xml:space="preserve">Good quality hospital services are the result of interactions between various resources within the hospital, one of which are nurses as health service providers </w:t>
      </w:r>
      <w:r w:rsidR="001C696E" w:rsidRPr="00BE5371">
        <w:rPr>
          <w:rFonts w:ascii="Times New Roman" w:hAnsi="Times New Roman"/>
          <w:sz w:val="24"/>
          <w:szCs w:val="24"/>
        </w:rPr>
        <w:fldChar w:fldCharType="begin" w:fldLock="1"/>
      </w:r>
      <w:r w:rsidR="001C696E" w:rsidRPr="00BE5371">
        <w:rPr>
          <w:rFonts w:ascii="Times New Roman" w:hAnsi="Times New Roman"/>
          <w:sz w:val="24"/>
          <w:szCs w:val="24"/>
        </w:rPr>
        <w:instrText>ADDIN CSL_CITATION {"citationItems":[{"id":"ITEM-1","itemData":{"DOI":"DOI:10.55173/nersmid.v5i1.100","author":[{"dropping-particle":"","family":"Lisna; et all","given":"","non-dropping-particle":"","parse-names":false,"suffix":""}],"container-title":"Jurnal Keperawatan dan Kebidanan","id":"ITEM-1","issue":"1","issued":{"date-parts":[["2022"]]},"page":"15-27","title":"Pengaruh Mutu Pelayanan terhadap Tingkat Kepuasan Pasien Rawat Inap di Puskesmas Lapai Kabupaten Kolaka Utara","type":"article-journal","volume":"5"},"uris":["http://www.mendeley.com/documents/?uuid=4f9ba240-2318-4158-87a7-92aed26c7e44"]}],"mendeley":{"formattedCitation":"[1]","plainTextFormattedCitation":"[1]","previouslyFormattedCitation":"[1]"},"properties":{"noteIndex":0},"schema":"https://github.com/citation-style-language/schema/raw/master/csl-citation.json"}</w:instrText>
      </w:r>
      <w:r w:rsidR="001C696E" w:rsidRPr="00BE5371">
        <w:rPr>
          <w:rFonts w:ascii="Times New Roman" w:hAnsi="Times New Roman"/>
          <w:sz w:val="24"/>
          <w:szCs w:val="24"/>
        </w:rPr>
        <w:fldChar w:fldCharType="separate"/>
      </w:r>
      <w:r w:rsidR="001C696E" w:rsidRPr="00BE5371">
        <w:rPr>
          <w:rFonts w:ascii="Times New Roman" w:hAnsi="Times New Roman"/>
          <w:noProof/>
          <w:sz w:val="24"/>
          <w:szCs w:val="24"/>
        </w:rPr>
        <w:t>[1]</w:t>
      </w:r>
      <w:r w:rsidR="001C696E" w:rsidRPr="00BE5371">
        <w:rPr>
          <w:rFonts w:ascii="Times New Roman" w:hAnsi="Times New Roman"/>
          <w:sz w:val="24"/>
          <w:szCs w:val="24"/>
        </w:rPr>
        <w:fldChar w:fldCharType="end"/>
      </w:r>
      <w:r w:rsidR="001C696E" w:rsidRPr="00BE5371">
        <w:rPr>
          <w:rFonts w:ascii="Times New Roman" w:hAnsi="Times New Roman"/>
          <w:sz w:val="24"/>
          <w:szCs w:val="24"/>
        </w:rPr>
        <w:t xml:space="preserve">. </w:t>
      </w:r>
      <w:r w:rsidR="00F83FA1" w:rsidRPr="00F83FA1">
        <w:rPr>
          <w:rFonts w:ascii="Times New Roman" w:hAnsi="Times New Roman"/>
          <w:sz w:val="24"/>
          <w:szCs w:val="24"/>
        </w:rPr>
        <w:t>As frontline professionals who spend the most time with patients, nurses bear a critical responsibility in determining the patient's overall perception of care quality. When nursing care fails to meet expectations, it directly diminishes the hospital's reputation and patient retention rates</w:t>
      </w:r>
      <w:r w:rsidR="00F83FA1">
        <w:rPr>
          <w:rFonts w:ascii="Times New Roman" w:hAnsi="Times New Roman"/>
          <w:sz w:val="24"/>
          <w:szCs w:val="24"/>
        </w:rPr>
        <w:t xml:space="preserve"> </w:t>
      </w:r>
      <w:r w:rsidR="00F83FA1">
        <w:rPr>
          <w:rFonts w:ascii="Times New Roman" w:hAnsi="Times New Roman"/>
          <w:sz w:val="24"/>
          <w:szCs w:val="24"/>
        </w:rPr>
        <w:fldChar w:fldCharType="begin" w:fldLock="1"/>
      </w:r>
      <w:r w:rsidR="00F83FA1">
        <w:rPr>
          <w:rFonts w:ascii="Times New Roman" w:hAnsi="Times New Roman"/>
          <w:sz w:val="24"/>
          <w:szCs w:val="24"/>
        </w:rPr>
        <w:instrText>ADDIN CSL_CITATION {"citationItems":[{"id":"ITEM-1","itemData":{"author":[{"dropping-particle":"","family":"Akseizer, O., &amp; Sakhnini","given":"N.","non-dropping-particle":"","parse-names":false,"suffix":""}],"container-title":"Journal of Nursing Care Quality","id":"ITEM-1","issue":"3","issued":{"date-parts":[["2021"]]},"page":"204-210","title":"The role of frontline nurses in shaping patient satisfaction and hospital quality metrics","type":"article-journal","volume":"36"},"uris":["http://www.mendeley.com/documents/?uuid=e23920ec-b550-4af6-9a97-c0e7bcb044ec"]}],"mendeley":{"formattedCitation":"[3]","plainTextFormattedCitation":"[3]","previouslyFormattedCitation":"[3]"},"properties":{"noteIndex":0},"schema":"https://github.com/citation-style-language/schema/raw/master/csl-citation.json"}</w:instrText>
      </w:r>
      <w:r w:rsidR="00F83FA1">
        <w:rPr>
          <w:rFonts w:ascii="Times New Roman" w:hAnsi="Times New Roman"/>
          <w:sz w:val="24"/>
          <w:szCs w:val="24"/>
        </w:rPr>
        <w:fldChar w:fldCharType="separate"/>
      </w:r>
      <w:r w:rsidR="00F83FA1" w:rsidRPr="00F83FA1">
        <w:rPr>
          <w:rFonts w:ascii="Times New Roman" w:hAnsi="Times New Roman"/>
          <w:noProof/>
          <w:sz w:val="24"/>
          <w:szCs w:val="24"/>
        </w:rPr>
        <w:t>[3]</w:t>
      </w:r>
      <w:r w:rsidR="00F83FA1">
        <w:rPr>
          <w:rFonts w:ascii="Times New Roman" w:hAnsi="Times New Roman"/>
          <w:sz w:val="24"/>
          <w:szCs w:val="24"/>
        </w:rPr>
        <w:fldChar w:fldCharType="end"/>
      </w:r>
      <w:r w:rsidR="00F83FA1">
        <w:rPr>
          <w:rFonts w:ascii="Times New Roman" w:hAnsi="Times New Roman"/>
          <w:sz w:val="24"/>
          <w:szCs w:val="24"/>
        </w:rPr>
        <w:t>.</w:t>
      </w:r>
    </w:p>
    <w:p w14:paraId="5CE6B5E1" w14:textId="6242DD29" w:rsidR="004726E6" w:rsidRDefault="00622526" w:rsidP="001559E4">
      <w:pPr>
        <w:spacing w:after="0" w:line="360" w:lineRule="auto"/>
        <w:ind w:firstLine="425"/>
        <w:jc w:val="both"/>
        <w:rPr>
          <w:rFonts w:ascii="Times New Roman" w:hAnsi="Times New Roman"/>
          <w:sz w:val="24"/>
          <w:szCs w:val="24"/>
          <w:lang w:eastAsia="id-ID"/>
        </w:rPr>
      </w:pPr>
      <w:r w:rsidRPr="00BE5371">
        <w:rPr>
          <w:rFonts w:ascii="Times New Roman" w:hAnsi="Times New Roman"/>
          <w:sz w:val="24"/>
          <w:szCs w:val="24"/>
        </w:rPr>
        <w:t>The performance of nurses as employees and actors carrying out the functions of a hospital organization significantly influences the quality of care provided. The more effectively employees meet patient needs and demands, the better the quality of care provided</w:t>
      </w:r>
      <w:r w:rsidR="0006584F" w:rsidRPr="00BE5371">
        <w:rPr>
          <w:rFonts w:ascii="Times New Roman" w:hAnsi="Times New Roman"/>
          <w:sz w:val="24"/>
          <w:szCs w:val="24"/>
          <w:lang w:eastAsia="id-ID"/>
        </w:rPr>
        <w:t xml:space="preserve"> </w:t>
      </w:r>
      <w:r w:rsidR="001C696E" w:rsidRPr="00BE5371">
        <w:rPr>
          <w:rFonts w:ascii="Times New Roman" w:hAnsi="Times New Roman"/>
          <w:sz w:val="24"/>
          <w:szCs w:val="24"/>
          <w:lang w:eastAsia="id-ID"/>
        </w:rPr>
        <w:fldChar w:fldCharType="begin" w:fldLock="1"/>
      </w:r>
      <w:r w:rsidR="00F83FA1">
        <w:rPr>
          <w:rFonts w:ascii="Times New Roman" w:hAnsi="Times New Roman"/>
          <w:sz w:val="24"/>
          <w:szCs w:val="24"/>
          <w:lang w:eastAsia="id-ID"/>
        </w:rPr>
        <w:instrText>ADDIN CSL_CITATION {"citationItems":[{"id":"ITEM-1","itemData":{"author":[{"dropping-particle":"","family":"Rahayu, M ; Mudmainah; G.S","given":"Eka","non-dropping-particle":"","parse-names":false,"suffix":""}],"container-title":"Jurnal Kesehatan Rajawali","id":"ITEM-1","issue":"1","issued":{"date-parts":[["2024"]]},"page":"38-41","title":"Hubungan Mutu Pelayanan Kesehatan Terhadap Tingkat Kepuasan Pasien di Poliklinik TB Paru Puskesmas Bihbul Kecamatan Margahayu Bandung.","type":"article-journal","volume":"14"},"uris":["http://www.mendeley.com/documents/?uuid=325422a6-f794-4567-b21c-2361306e329b"]}],"mendeley":{"formattedCitation":"[4]","plainTextFormattedCitation":"[4]","previouslyFormattedCitation":"[4]"},"properties":{"noteIndex":0},"schema":"https://github.com/citation-style-language/schema/raw/master/csl-citation.json"}</w:instrText>
      </w:r>
      <w:r w:rsidR="001C696E" w:rsidRPr="00BE5371">
        <w:rPr>
          <w:rFonts w:ascii="Times New Roman" w:hAnsi="Times New Roman"/>
          <w:sz w:val="24"/>
          <w:szCs w:val="24"/>
          <w:lang w:eastAsia="id-ID"/>
        </w:rPr>
        <w:fldChar w:fldCharType="separate"/>
      </w:r>
      <w:r w:rsidR="00F83FA1" w:rsidRPr="00F83FA1">
        <w:rPr>
          <w:rFonts w:ascii="Times New Roman" w:hAnsi="Times New Roman"/>
          <w:noProof/>
          <w:sz w:val="24"/>
          <w:szCs w:val="24"/>
          <w:lang w:eastAsia="id-ID"/>
        </w:rPr>
        <w:t>[4]</w:t>
      </w:r>
      <w:r w:rsidR="001C696E" w:rsidRPr="00BE5371">
        <w:rPr>
          <w:rFonts w:ascii="Times New Roman" w:hAnsi="Times New Roman"/>
          <w:sz w:val="24"/>
          <w:szCs w:val="24"/>
          <w:lang w:eastAsia="id-ID"/>
        </w:rPr>
        <w:fldChar w:fldCharType="end"/>
      </w:r>
      <w:r w:rsidR="0006584F" w:rsidRPr="00BE5371">
        <w:rPr>
          <w:rFonts w:ascii="Times New Roman" w:hAnsi="Times New Roman"/>
          <w:sz w:val="24"/>
          <w:szCs w:val="24"/>
          <w:lang w:eastAsia="id-ID"/>
        </w:rPr>
        <w:t xml:space="preserve">. </w:t>
      </w:r>
      <w:r w:rsidRPr="00BE5371">
        <w:rPr>
          <w:rFonts w:ascii="Times New Roman" w:hAnsi="Times New Roman"/>
          <w:sz w:val="24"/>
          <w:szCs w:val="24"/>
        </w:rPr>
        <w:t xml:space="preserve">The good performance demonstrated will provide improvements in the </w:t>
      </w:r>
      <w:r w:rsidRPr="00BE5371">
        <w:rPr>
          <w:rFonts w:ascii="Times New Roman" w:hAnsi="Times New Roman"/>
          <w:sz w:val="24"/>
          <w:szCs w:val="24"/>
        </w:rPr>
        <w:lastRenderedPageBreak/>
        <w:t>quality and standard of service to patients</w:t>
      </w:r>
      <w:r w:rsidR="007B6554" w:rsidRPr="00BE5371">
        <w:rPr>
          <w:rFonts w:ascii="Times New Roman" w:hAnsi="Times New Roman"/>
          <w:sz w:val="24"/>
          <w:szCs w:val="24"/>
        </w:rPr>
        <w:t xml:space="preserve"> </w:t>
      </w:r>
      <w:r w:rsidR="007B6554" w:rsidRPr="00BE5371">
        <w:rPr>
          <w:rFonts w:ascii="Times New Roman" w:hAnsi="Times New Roman"/>
          <w:sz w:val="24"/>
          <w:szCs w:val="24"/>
        </w:rPr>
        <w:fldChar w:fldCharType="begin" w:fldLock="1"/>
      </w:r>
      <w:r w:rsidR="00F83FA1">
        <w:rPr>
          <w:rFonts w:ascii="Times New Roman" w:hAnsi="Times New Roman"/>
          <w:sz w:val="24"/>
          <w:szCs w:val="24"/>
        </w:rPr>
        <w:instrText>ADDIN CSL_CITATION {"citationItems":[{"id":"ITEM-1","itemData":{"author":[{"dropping-particle":"","family":"Chita, Dhinta Feritsya; Budiarto, Wasis; Hartati","given":"C. Sri","non-dropping-particle":"","parse-names":false,"suffix":""}],"container-title":"JURNAL EKONOMIKA45","id":"ITEM-1","issue":"2","issued":{"date-parts":[["2022"]]},"page":"151-162","title":"ANALISIS PENGARUH PENGALAMAN KERJA DAN PELATIHAN TERHADAP MUTU PELAYANAN DAN KINERJA TENAGA KESEHATAN RUMAH SAKIT ISLAM (RSI) SURABAYA","type":"article-journal","volume":"9"},"uris":["http://www.mendeley.com/documents/?uuid=416fac73-d9b5-40b9-88cc-4f8fc620f298"]}],"mendeley":{"formattedCitation":"[5]","plainTextFormattedCitation":"[5]","previouslyFormattedCitation":"[5]"},"properties":{"noteIndex":0},"schema":"https://github.com/citation-style-language/schema/raw/master/csl-citation.json"}</w:instrText>
      </w:r>
      <w:r w:rsidR="007B6554" w:rsidRPr="00BE5371">
        <w:rPr>
          <w:rFonts w:ascii="Times New Roman" w:hAnsi="Times New Roman"/>
          <w:sz w:val="24"/>
          <w:szCs w:val="24"/>
        </w:rPr>
        <w:fldChar w:fldCharType="separate"/>
      </w:r>
      <w:r w:rsidR="00F83FA1" w:rsidRPr="00F83FA1">
        <w:rPr>
          <w:rFonts w:ascii="Times New Roman" w:hAnsi="Times New Roman"/>
          <w:noProof/>
          <w:sz w:val="24"/>
          <w:szCs w:val="24"/>
        </w:rPr>
        <w:t>[5]</w:t>
      </w:r>
      <w:r w:rsidR="007B6554" w:rsidRPr="00BE5371">
        <w:rPr>
          <w:rFonts w:ascii="Times New Roman" w:hAnsi="Times New Roman"/>
          <w:sz w:val="24"/>
          <w:szCs w:val="24"/>
        </w:rPr>
        <w:fldChar w:fldCharType="end"/>
      </w:r>
      <w:r w:rsidR="007B6554" w:rsidRPr="00BE5371">
        <w:rPr>
          <w:rFonts w:ascii="Times New Roman" w:hAnsi="Times New Roman"/>
          <w:sz w:val="24"/>
          <w:szCs w:val="24"/>
          <w:lang w:eastAsia="id-ID"/>
        </w:rPr>
        <w:t>.</w:t>
      </w:r>
      <w:r w:rsidR="00553E93" w:rsidRPr="00BE5371">
        <w:rPr>
          <w:rFonts w:ascii="Times New Roman" w:hAnsi="Times New Roman"/>
          <w:sz w:val="24"/>
          <w:szCs w:val="24"/>
          <w:lang w:eastAsia="id-ID"/>
        </w:rPr>
        <w:t xml:space="preserve"> </w:t>
      </w:r>
      <w:r w:rsidR="008D1DC0" w:rsidRPr="00BE5371">
        <w:rPr>
          <w:rFonts w:ascii="Times New Roman" w:hAnsi="Times New Roman"/>
          <w:sz w:val="24"/>
          <w:szCs w:val="24"/>
          <w:lang w:eastAsia="id-ID"/>
        </w:rPr>
        <w:t>One important aspect of communication in hospitals is therapeutic communication between healthcare professionals and patients. When healthcare professionals are able to convey information clearly, empathetically, and openly, patients feel valued and have a better understanding of their health condition and the treatment plan</w:t>
      </w:r>
      <w:r w:rsidR="0006584F" w:rsidRPr="00BE5371">
        <w:rPr>
          <w:rFonts w:ascii="Times New Roman" w:hAnsi="Times New Roman"/>
          <w:sz w:val="24"/>
          <w:szCs w:val="24"/>
          <w:lang w:eastAsia="id-ID"/>
        </w:rPr>
        <w:t xml:space="preserve"> </w:t>
      </w:r>
      <w:r w:rsidR="005A783B" w:rsidRPr="00BE5371">
        <w:rPr>
          <w:rFonts w:ascii="Times New Roman" w:hAnsi="Times New Roman"/>
          <w:sz w:val="24"/>
          <w:szCs w:val="24"/>
          <w:lang w:eastAsia="id-ID"/>
        </w:rPr>
        <w:fldChar w:fldCharType="begin" w:fldLock="1"/>
      </w:r>
      <w:r w:rsidR="0047140C">
        <w:rPr>
          <w:rFonts w:ascii="Times New Roman" w:hAnsi="Times New Roman"/>
          <w:sz w:val="24"/>
          <w:szCs w:val="24"/>
          <w:lang w:eastAsia="id-ID"/>
        </w:rPr>
        <w:instrText>ADDIN CSL_CITATION {"citationItems":[{"id":"ITEM-1","itemData":{"ISBN":"978-602-6450-45-6","author":[{"dropping-particle":"","family":"Nursalam","given":"","non-dropping-particle":"","parse-names":false,"suffix":""}],"edition":"5","id":"ITEM-1","issued":{"date-parts":[["2020"]]},"publisher":"Salemba Medika","publisher-place":"Jakarta Selatan","title":"Manajemen Keparawatan: Aplikasi dalam Praktik Keperawatan Profesional","type":"book"},"uris":["http://www.mendeley.com/documents/?uuid=852a4a5c-2833-4f68-9415-ccb684f4309f"]}],"mendeley":{"formattedCitation":"[2]","plainTextFormattedCitation":"[2]","previouslyFormattedCitation":"[2]"},"properties":{"noteIndex":0},"schema":"https://github.com/citation-style-language/schema/raw/master/csl-citation.json"}</w:instrText>
      </w:r>
      <w:r w:rsidR="005A783B" w:rsidRPr="00BE5371">
        <w:rPr>
          <w:rFonts w:ascii="Times New Roman" w:hAnsi="Times New Roman"/>
          <w:sz w:val="24"/>
          <w:szCs w:val="24"/>
          <w:lang w:eastAsia="id-ID"/>
        </w:rPr>
        <w:fldChar w:fldCharType="separate"/>
      </w:r>
      <w:r w:rsidR="0047140C" w:rsidRPr="0047140C">
        <w:rPr>
          <w:rFonts w:ascii="Times New Roman" w:hAnsi="Times New Roman"/>
          <w:noProof/>
          <w:sz w:val="24"/>
          <w:szCs w:val="24"/>
          <w:lang w:eastAsia="id-ID"/>
        </w:rPr>
        <w:t>[2]</w:t>
      </w:r>
      <w:r w:rsidR="005A783B" w:rsidRPr="00BE5371">
        <w:rPr>
          <w:rFonts w:ascii="Times New Roman" w:hAnsi="Times New Roman"/>
          <w:sz w:val="24"/>
          <w:szCs w:val="24"/>
          <w:lang w:eastAsia="id-ID"/>
        </w:rPr>
        <w:fldChar w:fldCharType="end"/>
      </w:r>
      <w:r w:rsidR="0006584F" w:rsidRPr="00BE5371">
        <w:rPr>
          <w:rFonts w:ascii="Times New Roman" w:hAnsi="Times New Roman"/>
          <w:sz w:val="24"/>
          <w:szCs w:val="24"/>
          <w:lang w:eastAsia="id-ID"/>
        </w:rPr>
        <w:t>.</w:t>
      </w:r>
    </w:p>
    <w:p w14:paraId="72FFA09C" w14:textId="7D80DF20" w:rsidR="007A684A" w:rsidRPr="00D361B4" w:rsidRDefault="00F83FA1" w:rsidP="001559E4">
      <w:pPr>
        <w:spacing w:after="0" w:line="360" w:lineRule="auto"/>
        <w:ind w:firstLine="425"/>
        <w:jc w:val="both"/>
        <w:rPr>
          <w:rFonts w:ascii="Times New Roman" w:hAnsi="Times New Roman"/>
          <w:sz w:val="24"/>
          <w:szCs w:val="24"/>
        </w:rPr>
      </w:pPr>
      <w:r w:rsidRPr="00D361B4">
        <w:rPr>
          <w:rFonts w:ascii="Times New Roman" w:hAnsi="Times New Roman"/>
          <w:sz w:val="24"/>
          <w:szCs w:val="24"/>
        </w:rPr>
        <w:t xml:space="preserve">In fact, effective communication is not merely a soft skill but a core clinical competency; miscommunication in healthcare settings accounts for a substantial percentage of preventable adverse events and medical errors globally </w:t>
      </w:r>
      <w:r w:rsidR="00D361B4" w:rsidRPr="00D361B4">
        <w:rPr>
          <w:rFonts w:ascii="Times New Roman" w:hAnsi="Times New Roman"/>
          <w:sz w:val="24"/>
          <w:szCs w:val="24"/>
        </w:rPr>
        <w:fldChar w:fldCharType="begin" w:fldLock="1"/>
      </w:r>
      <w:r w:rsidR="00D361B4">
        <w:rPr>
          <w:rFonts w:ascii="Times New Roman" w:hAnsi="Times New Roman"/>
          <w:sz w:val="24"/>
          <w:szCs w:val="24"/>
        </w:rPr>
        <w:instrText>ADDIN CSL_CITATION {"citationItems":[{"id":"ITEM-1","itemData":{"author":[{"dropping-particle":"","family":"World Health Organization (WHO)","given":"","non-dropping-particle":"","parse-names":false,"suffix":""}],"container-title":"WHO Guidelines","id":"ITEM-1","issued":{"date-parts":[["2020"]]},"publisher-place":"Geneva","title":"Patient safety: Global action on patient safety","type":"article-magazine"},"uris":["http://www.mendeley.com/documents/?uuid=0b9677ac-27e4-4962-b24d-eb2a8c088b11"]}],"mendeley":{"formattedCitation":"[6]","plainTextFormattedCitation":"[6]","previouslyFormattedCitation":"[6]"},"properties":{"noteIndex":0},"schema":"https://github.com/citation-style-language/schema/raw/master/csl-citation.json"}</w:instrText>
      </w:r>
      <w:r w:rsidR="00D361B4" w:rsidRPr="00D361B4">
        <w:rPr>
          <w:rFonts w:ascii="Times New Roman" w:hAnsi="Times New Roman"/>
          <w:sz w:val="24"/>
          <w:szCs w:val="24"/>
        </w:rPr>
        <w:fldChar w:fldCharType="separate"/>
      </w:r>
      <w:r w:rsidR="00D361B4" w:rsidRPr="00D361B4">
        <w:rPr>
          <w:rFonts w:ascii="Times New Roman" w:hAnsi="Times New Roman"/>
          <w:noProof/>
          <w:sz w:val="24"/>
          <w:szCs w:val="24"/>
        </w:rPr>
        <w:t>[6]</w:t>
      </w:r>
      <w:r w:rsidR="00D361B4" w:rsidRPr="00D361B4">
        <w:rPr>
          <w:rFonts w:ascii="Times New Roman" w:hAnsi="Times New Roman"/>
          <w:sz w:val="24"/>
          <w:szCs w:val="24"/>
        </w:rPr>
        <w:fldChar w:fldCharType="end"/>
      </w:r>
      <w:r w:rsidR="00D361B4" w:rsidRPr="00D361B4">
        <w:rPr>
          <w:rFonts w:ascii="Times New Roman" w:hAnsi="Times New Roman"/>
          <w:sz w:val="24"/>
          <w:szCs w:val="24"/>
        </w:rPr>
        <w:t>.</w:t>
      </w:r>
    </w:p>
    <w:p w14:paraId="6F56000B" w14:textId="04A1CDC2" w:rsidR="00D361B4" w:rsidRPr="00D361B4" w:rsidRDefault="00D361B4" w:rsidP="001559E4">
      <w:pPr>
        <w:spacing w:after="0" w:line="360" w:lineRule="auto"/>
        <w:ind w:firstLine="425"/>
        <w:jc w:val="both"/>
        <w:rPr>
          <w:rFonts w:ascii="Times New Roman" w:hAnsi="Times New Roman"/>
          <w:sz w:val="24"/>
          <w:szCs w:val="24"/>
        </w:rPr>
      </w:pPr>
      <w:r w:rsidRPr="00D361B4">
        <w:rPr>
          <w:rFonts w:ascii="Times New Roman" w:hAnsi="Times New Roman"/>
          <w:sz w:val="24"/>
          <w:szCs w:val="24"/>
        </w:rPr>
        <w:t xml:space="preserve">Despite the widely acknowledged importance of communication, many hospitals still face challenges where nurses adopt rigid or overly formal communication styles due to high workloads and burnout. This often leads to a disconnect, where nurses believe they have provided standard care, but patients feel neglected or uninformed </w:t>
      </w:r>
      <w:r>
        <w:rPr>
          <w:rFonts w:ascii="Times New Roman" w:hAnsi="Times New Roman"/>
          <w:sz w:val="24"/>
          <w:szCs w:val="24"/>
        </w:rPr>
        <w:fldChar w:fldCharType="begin" w:fldLock="1"/>
      </w:r>
      <w:r w:rsidR="00AF5B51">
        <w:rPr>
          <w:rFonts w:ascii="Times New Roman" w:hAnsi="Times New Roman"/>
          <w:sz w:val="24"/>
          <w:szCs w:val="24"/>
        </w:rPr>
        <w:instrText>ADDIN CSL_CITATION {"citationItems":[{"id":"ITEM-1","itemData":{"author":[{"dropping-particle":"","family":"Kwame, A., &amp; Petrucka","given":"P. M.","non-dropping-particle":"","parse-names":false,"suffix":""}],"container-title":"BMC Nursing","id":"ITEM-1","issue":"1","issued":{"date-parts":[["2021"]]},"page":"1-10","title":"A literature review of patient-centered communication and patient-centered care as therapeutic approaches in nursing","type":"article-journal","volume":"20"},"uris":["http://www.mendeley.com/documents/?uuid=b4c77797-70d1-4215-bc2b-cf78002ac678"]}],"mendeley":{"formattedCitation":"[7]","plainTextFormattedCitation":"[7]","previouslyFormattedCitation":"[7]"},"properties":{"noteIndex":0},"schema":"https://github.com/citation-style-language/schema/raw/master/csl-citation.json"}</w:instrText>
      </w:r>
      <w:r>
        <w:rPr>
          <w:rFonts w:ascii="Times New Roman" w:hAnsi="Times New Roman"/>
          <w:sz w:val="24"/>
          <w:szCs w:val="24"/>
        </w:rPr>
        <w:fldChar w:fldCharType="separate"/>
      </w:r>
      <w:r w:rsidRPr="00D361B4">
        <w:rPr>
          <w:rFonts w:ascii="Times New Roman" w:hAnsi="Times New Roman"/>
          <w:noProof/>
          <w:sz w:val="24"/>
          <w:szCs w:val="24"/>
        </w:rPr>
        <w:t>[7]</w:t>
      </w:r>
      <w:r>
        <w:rPr>
          <w:rFonts w:ascii="Times New Roman" w:hAnsi="Times New Roman"/>
          <w:sz w:val="24"/>
          <w:szCs w:val="24"/>
        </w:rPr>
        <w:fldChar w:fldCharType="end"/>
      </w:r>
      <w:r w:rsidRPr="00D361B4">
        <w:rPr>
          <w:rFonts w:ascii="Times New Roman" w:hAnsi="Times New Roman"/>
          <w:sz w:val="24"/>
          <w:szCs w:val="24"/>
        </w:rPr>
        <w:t xml:space="preserve">. Most existing studies evaluate nursing performance from an administrative or managerial standpoint, often overlooking the patient’s subjective evaluation. In inpatient settings, where patients experience prolonged interactions with the nursing staff, measuring service quality strictly from the patient's perspective provides a more authentic reflection of care delivery </w:t>
      </w:r>
      <w:r w:rsidR="00AF5B5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{"citationItems":[{"id":"ITEM-1","itemData":{"author":[{"dropping-particle":"","family":"Anhang Price, R., Elliott, M. N., Zaslavsky, A. M.","given":"et al.","non-dropping-particle":"","parse-names":false,"suffix":""}],"container-title":"Medical Care Research and Review","id":"ITEM-1","issue":"5","issued":{"date-parts":[["2024"]]},"page":"522-554","title":"Examining the role of patient experience surveys in measuring health care quality","type":"article-journal","volume":"71"},"uris":["http://www.mendeley.com/documents/?uuid=edfe2ddb-ae1e-4e14-975b-7dde97692868"]}],"mendeley":{"formattedCitation":"[8]","plainTextFormattedCitation":"[8]","previouslyFormattedCitation":"[8]"},"properties":{"noteIndex":0},"schema":"https://github.com/citation-style-language/schema/raw/master/csl-citation.json"}</w:instrText>
      </w:r>
      <w:r w:rsidR="00AF5B51">
        <w:rPr>
          <w:rFonts w:ascii="Times New Roman" w:hAnsi="Times New Roman"/>
          <w:sz w:val="24"/>
          <w:szCs w:val="24"/>
        </w:rPr>
        <w:fldChar w:fldCharType="separate"/>
      </w:r>
      <w:r w:rsidR="00AF5B51" w:rsidRPr="00AF5B51">
        <w:rPr>
          <w:rFonts w:ascii="Times New Roman" w:hAnsi="Times New Roman"/>
          <w:noProof/>
          <w:sz w:val="24"/>
          <w:szCs w:val="24"/>
        </w:rPr>
        <w:t>[8]</w:t>
      </w:r>
      <w:r w:rsidR="00AF5B51">
        <w:rPr>
          <w:rFonts w:ascii="Times New Roman" w:hAnsi="Times New Roman"/>
          <w:sz w:val="24"/>
          <w:szCs w:val="24"/>
        </w:rPr>
        <w:fldChar w:fldCharType="end"/>
      </w:r>
      <w:r w:rsidRPr="00D361B4">
        <w:rPr>
          <w:rFonts w:ascii="Times New Roman" w:hAnsi="Times New Roman"/>
          <w:sz w:val="24"/>
          <w:szCs w:val="24"/>
        </w:rPr>
        <w:t>. Therefore, a specific investigation into how distinct communication styles directly map onto perceived inpatient care quality remains highly necessary.</w:t>
      </w:r>
    </w:p>
    <w:p w14:paraId="1B0EB16E" w14:textId="366A39AD" w:rsidR="004726E6" w:rsidRDefault="004726E6" w:rsidP="001559E4">
      <w:pPr>
        <w:spacing w:after="0" w:line="360" w:lineRule="auto"/>
        <w:ind w:firstLine="425"/>
        <w:jc w:val="both"/>
        <w:rPr>
          <w:rFonts w:ascii="Times New Roman" w:hAnsi="Times New Roman"/>
          <w:sz w:val="24"/>
          <w:szCs w:val="24"/>
        </w:rPr>
      </w:pPr>
      <w:r w:rsidRPr="00BE5371">
        <w:rPr>
          <w:rFonts w:ascii="Times New Roman" w:hAnsi="Times New Roman"/>
          <w:sz w:val="24"/>
          <w:szCs w:val="24"/>
        </w:rPr>
        <w:t>This study aims to examine how nurses' communication styles influence the quality of inpatient care at Hospital X from a patient perspective. It is hoped that the findings of this study will provide valuable information for the hospital. This information can be used to develop effective strategies to improve nurse performance, which will ultimately have a positive impact on overall service quality.</w:t>
      </w:r>
    </w:p>
    <w:p w14:paraId="243370AD" w14:textId="77777777" w:rsidR="001559E4" w:rsidRPr="001559E4" w:rsidRDefault="001559E4" w:rsidP="001559E4">
      <w:pPr>
        <w:spacing w:after="0" w:line="360" w:lineRule="auto"/>
        <w:ind w:firstLine="425"/>
        <w:jc w:val="both"/>
        <w:rPr>
          <w:rFonts w:ascii="Times New Roman" w:hAnsi="Times New Roman"/>
          <w:sz w:val="24"/>
          <w:szCs w:val="24"/>
        </w:rPr>
      </w:pPr>
    </w:p>
    <w:p w14:paraId="1D2A280A" w14:textId="77777777" w:rsidR="008D1DC0" w:rsidRPr="00BE5371" w:rsidRDefault="008D1DC0" w:rsidP="001559E4">
      <w:pPr>
        <w:spacing w:after="0" w:line="360" w:lineRule="auto"/>
        <w:rPr>
          <w:rFonts w:ascii="Times New Roman" w:eastAsia="Times New Roman" w:hAnsi="Times New Roman"/>
          <w:b/>
          <w:color w:val="000000"/>
        </w:rPr>
      </w:pPr>
      <w:r w:rsidRPr="00BE5371">
        <w:rPr>
          <w:rFonts w:ascii="Times New Roman" w:eastAsia="Times New Roman" w:hAnsi="Times New Roman"/>
          <w:b/>
          <w:color w:val="000000"/>
        </w:rPr>
        <w:t>METHOD</w:t>
      </w:r>
    </w:p>
    <w:p w14:paraId="781D81CD" w14:textId="77777777" w:rsidR="001F1563" w:rsidRPr="00BE5371" w:rsidRDefault="001F1563" w:rsidP="001559E4">
      <w:pPr>
        <w:spacing w:after="0" w:line="360" w:lineRule="auto"/>
        <w:ind w:firstLine="425"/>
        <w:jc w:val="both"/>
        <w:rPr>
          <w:rFonts w:ascii="Times New Roman" w:hAnsi="Times New Roman"/>
          <w:sz w:val="24"/>
          <w:szCs w:val="24"/>
        </w:rPr>
      </w:pPr>
      <w:r w:rsidRPr="00BE5371">
        <w:rPr>
          <w:rFonts w:ascii="Times New Roman" w:hAnsi="Times New Roman"/>
          <w:sz w:val="24"/>
          <w:szCs w:val="24"/>
        </w:rPr>
        <w:t>A combination of quantitative, observable, and analytic cross-sectional design was used in this investigation. Patients receiving care at Kediri Regency's "X" Hospital made up the sample. Patients who could converse well and were conscious (not in a condition of diminished consciousness) met the inclusion criteria. Patients who declined to take part were excluded.</w:t>
      </w:r>
    </w:p>
    <w:p w14:paraId="769D5199" w14:textId="06149B25" w:rsidR="001F1563" w:rsidRPr="00BE5371" w:rsidRDefault="001F1563" w:rsidP="001559E4">
      <w:pPr>
        <w:spacing w:after="0" w:line="360" w:lineRule="auto"/>
        <w:ind w:firstLine="425"/>
        <w:jc w:val="both"/>
        <w:rPr>
          <w:rFonts w:ascii="Times New Roman" w:hAnsi="Times New Roman"/>
          <w:sz w:val="24"/>
          <w:szCs w:val="24"/>
        </w:rPr>
      </w:pPr>
      <w:r w:rsidRPr="00BE5371">
        <w:rPr>
          <w:rFonts w:ascii="Times New Roman" w:hAnsi="Times New Roman"/>
          <w:sz w:val="24"/>
          <w:szCs w:val="24"/>
        </w:rPr>
        <w:lastRenderedPageBreak/>
        <w:t>The study employed a cluster random sampling technique to ensure systematic data collection across various hospital wards. The designated clusters consisted of seven specific rooms: Cendana, Flamboyan, Seruni, Melati, Bougainvillea, Anggrek, and Teratai. By selecting 15 participants from each cluster, a total sample size of 105 was achieved, providing sufficient statistical power for the subsequent analysis.</w:t>
      </w:r>
    </w:p>
    <w:p w14:paraId="68FB8F9A" w14:textId="07286C3B" w:rsidR="008D1DC0" w:rsidRPr="00BE5371" w:rsidRDefault="001F1563" w:rsidP="001559E4">
      <w:pPr>
        <w:spacing w:after="0" w:line="360" w:lineRule="auto"/>
        <w:ind w:firstLine="425"/>
        <w:jc w:val="both"/>
        <w:rPr>
          <w:rFonts w:ascii="Times New Roman" w:hAnsi="Times New Roman"/>
          <w:sz w:val="24"/>
          <w:szCs w:val="24"/>
        </w:rPr>
      </w:pPr>
      <w:r w:rsidRPr="00BE5371">
        <w:rPr>
          <w:rFonts w:ascii="Times New Roman" w:hAnsi="Times New Roman"/>
          <w:sz w:val="24"/>
          <w:szCs w:val="24"/>
        </w:rPr>
        <w:t xml:space="preserve">The dataset for this study integrates both primary and secondary sources to ensure comprehensive analysis. Primary data were elicited directly from respondents using validated instruments: a performance determinant factor questionnaire and an inpatient service quality questionnaire. These primary sources were further complemented by secondary data to provide empirical support and contextual depth to the research findings. </w:t>
      </w:r>
      <w:r w:rsidR="008D1DC0" w:rsidRPr="00BE5371">
        <w:rPr>
          <w:rFonts w:ascii="Times New Roman" w:hAnsi="Times New Roman"/>
          <w:sz w:val="24"/>
          <w:szCs w:val="24"/>
          <w:lang w:eastAsia="id-ID"/>
        </w:rPr>
        <w:t>Secondary data obtained from the hospital included the number of annual patient visits, the number of nursing staff, and community satisfaction survey results.</w:t>
      </w:r>
    </w:p>
    <w:p w14:paraId="77ECD67B" w14:textId="47C290A7" w:rsidR="001F1563" w:rsidRPr="001559E4" w:rsidRDefault="001F1563" w:rsidP="001559E4">
      <w:pPr>
        <w:spacing w:after="0" w:line="360" w:lineRule="auto"/>
        <w:ind w:firstLine="425"/>
        <w:jc w:val="both"/>
        <w:rPr>
          <w:rFonts w:ascii="Times New Roman" w:eastAsia="Times New Roman" w:hAnsi="Times New Roman"/>
          <w:sz w:val="24"/>
          <w:szCs w:val="24"/>
          <w:lang w:val="en-US"/>
        </w:rPr>
      </w:pPr>
      <w:r w:rsidRPr="00BE5371">
        <w:rPr>
          <w:rFonts w:ascii="Times New Roman" w:eastAsia="Times New Roman" w:hAnsi="Times New Roman"/>
          <w:sz w:val="24"/>
          <w:szCs w:val="24"/>
          <w:lang w:val="en-US"/>
        </w:rPr>
        <w:t xml:space="preserve">Data analysis involved both univariate and bivariate approaches. Univariate analysis was employed to summarize the data by calculating frequency distributions and percentages for each variable. To investigate the associations between the studied variables, bivariate analysis was conducted using the Chi-Square test </w:t>
      </w:r>
      <w:r w:rsidR="00AD68EB" w:rsidRPr="00BE5371">
        <w:rPr>
          <w:rFonts w:ascii="Times New Roman" w:eastAsia="Times New Roman" w:hAnsi="Times New Roman"/>
          <w:sz w:val="24"/>
          <w:szCs w:val="24"/>
          <w:lang w:val="en-US"/>
        </w:rPr>
        <w:t>(X</w:t>
      </w:r>
      <w:r w:rsidR="00AD68EB" w:rsidRPr="00BE5371">
        <w:rPr>
          <w:rFonts w:ascii="Times New Roman" w:eastAsia="Times New Roman" w:hAnsi="Times New Roman"/>
          <w:sz w:val="24"/>
          <w:szCs w:val="24"/>
          <w:vertAlign w:val="superscript"/>
          <w:lang w:val="en-US"/>
        </w:rPr>
        <w:t>2</w:t>
      </w:r>
      <w:r w:rsidR="00AD68EB" w:rsidRPr="00BE5371">
        <w:rPr>
          <w:rFonts w:ascii="Times New Roman" w:eastAsia="Times New Roman" w:hAnsi="Times New Roman"/>
          <w:sz w:val="24"/>
          <w:szCs w:val="24"/>
          <w:lang w:val="en-US"/>
        </w:rPr>
        <w:t xml:space="preserve">). </w:t>
      </w:r>
      <w:r w:rsidRPr="00BE5371">
        <w:rPr>
          <w:rFonts w:ascii="Times New Roman" w:eastAsia="Times New Roman" w:hAnsi="Times New Roman"/>
          <w:sz w:val="24"/>
          <w:szCs w:val="24"/>
          <w:lang w:val="en-US"/>
        </w:rPr>
        <w:t>This statistical inference was utilized to determine whether a significant relationship exists, with the significance level set at p &lt; 0.05.</w:t>
      </w:r>
    </w:p>
    <w:p w14:paraId="04BF8B2F" w14:textId="77777777" w:rsidR="001559E4" w:rsidRDefault="001559E4" w:rsidP="001559E4">
      <w:pPr>
        <w:spacing w:after="0" w:line="360" w:lineRule="auto"/>
        <w:rPr>
          <w:rFonts w:ascii="Times New Roman" w:hAnsi="Times New Roman"/>
          <w:b/>
          <w:bCs/>
          <w:sz w:val="24"/>
          <w:szCs w:val="24"/>
          <w:lang w:val="en-US" w:eastAsia="id-ID"/>
        </w:rPr>
      </w:pPr>
    </w:p>
    <w:p w14:paraId="709CCF0A" w14:textId="71C2E8FF" w:rsidR="008D1DC0" w:rsidRDefault="001559E4" w:rsidP="001559E4">
      <w:pPr>
        <w:spacing w:after="0" w:line="360" w:lineRule="auto"/>
        <w:rPr>
          <w:rFonts w:ascii="Times New Roman" w:hAnsi="Times New Roman"/>
          <w:b/>
          <w:bCs/>
          <w:sz w:val="24"/>
          <w:szCs w:val="24"/>
          <w:lang w:eastAsia="id-ID"/>
        </w:rPr>
      </w:pPr>
      <w:r w:rsidRPr="00BE5371">
        <w:rPr>
          <w:rFonts w:ascii="Times New Roman" w:hAnsi="Times New Roman"/>
          <w:b/>
          <w:bCs/>
          <w:sz w:val="24"/>
          <w:szCs w:val="24"/>
          <w:lang w:val="en-US" w:eastAsia="id-ID"/>
        </w:rPr>
        <w:t>RESULTS</w:t>
      </w:r>
      <w:r w:rsidRPr="00BE5371">
        <w:rPr>
          <w:rFonts w:ascii="Times New Roman" w:hAnsi="Times New Roman"/>
          <w:b/>
          <w:bCs/>
          <w:sz w:val="24"/>
          <w:szCs w:val="24"/>
          <w:lang w:eastAsia="id-ID"/>
        </w:rPr>
        <w:t xml:space="preserve"> AND DISCUSSION</w:t>
      </w:r>
    </w:p>
    <w:p w14:paraId="434B47F7" w14:textId="77777777" w:rsidR="001559E4" w:rsidRPr="00BE5371" w:rsidRDefault="001559E4" w:rsidP="001559E4">
      <w:pPr>
        <w:spacing w:after="0" w:line="360" w:lineRule="auto"/>
        <w:rPr>
          <w:rFonts w:ascii="Times New Roman" w:hAnsi="Times New Roman"/>
          <w:b/>
          <w:bCs/>
          <w:sz w:val="24"/>
          <w:szCs w:val="24"/>
          <w:lang w:eastAsia="id-ID"/>
        </w:rPr>
      </w:pPr>
    </w:p>
    <w:p w14:paraId="0DBE5065" w14:textId="32D55DD5" w:rsidR="008D1DC0" w:rsidRPr="00BE5371" w:rsidRDefault="007942F8" w:rsidP="001559E4">
      <w:pPr>
        <w:spacing w:after="0" w:line="360" w:lineRule="auto"/>
        <w:jc w:val="center"/>
        <w:rPr>
          <w:rFonts w:ascii="Times New Roman" w:hAnsi="Times New Roman"/>
          <w:sz w:val="24"/>
          <w:szCs w:val="24"/>
          <w:lang w:eastAsia="id-ID"/>
        </w:rPr>
      </w:pPr>
      <w:r w:rsidRPr="001559E4">
        <w:rPr>
          <w:rFonts w:ascii="Times New Roman" w:hAnsi="Times New Roman"/>
          <w:b/>
          <w:sz w:val="24"/>
          <w:szCs w:val="24"/>
          <w:lang w:eastAsia="id-ID"/>
        </w:rPr>
        <w:t>Tabel 1.</w:t>
      </w:r>
      <w:r w:rsidRPr="00BE5371">
        <w:rPr>
          <w:rFonts w:ascii="Times New Roman" w:hAnsi="Times New Roman"/>
          <w:sz w:val="24"/>
          <w:szCs w:val="24"/>
          <w:lang w:eastAsia="id-ID"/>
        </w:rPr>
        <w:t xml:space="preserve"> </w:t>
      </w:r>
      <w:r w:rsidR="008D1DC0" w:rsidRPr="00BE5371">
        <w:rPr>
          <w:rFonts w:ascii="Times New Roman" w:hAnsi="Times New Roman"/>
          <w:sz w:val="24"/>
          <w:szCs w:val="24"/>
          <w:lang w:eastAsia="id-ID"/>
        </w:rPr>
        <w:t>Respondent Characteristics</w:t>
      </w:r>
    </w:p>
    <w:tbl>
      <w:tblPr>
        <w:tblStyle w:val="TableGrid"/>
        <w:tblW w:w="0" w:type="auto"/>
        <w:tblLook w:val="04A0" w:firstRow="1" w:lastRow="0" w:firstColumn="1" w:lastColumn="0" w:noHBand="0" w:noVBand="1"/>
      </w:tblPr>
      <w:tblGrid>
        <w:gridCol w:w="3240"/>
        <w:gridCol w:w="2340"/>
        <w:gridCol w:w="2610"/>
      </w:tblGrid>
      <w:tr w:rsidR="008D1DC0" w:rsidRPr="00BE5371" w14:paraId="7A472AFC" w14:textId="77777777" w:rsidTr="00633A4C">
        <w:tc>
          <w:tcPr>
            <w:tcW w:w="3240" w:type="dxa"/>
            <w:tcBorders>
              <w:top w:val="single" w:sz="4" w:space="0" w:color="auto"/>
              <w:left w:val="nil"/>
              <w:bottom w:val="single" w:sz="4" w:space="0" w:color="auto"/>
              <w:right w:val="nil"/>
            </w:tcBorders>
          </w:tcPr>
          <w:p w14:paraId="6F77F076" w14:textId="6503BA0C" w:rsidR="008D1DC0" w:rsidRPr="00BE5371" w:rsidRDefault="008D1DC0" w:rsidP="001559E4">
            <w:pPr>
              <w:spacing w:after="0" w:line="360" w:lineRule="auto"/>
              <w:rPr>
                <w:rFonts w:ascii="Times New Roman" w:hAnsi="Times New Roman"/>
                <w:b/>
                <w:bCs/>
                <w:sz w:val="24"/>
                <w:szCs w:val="24"/>
                <w:lang w:eastAsia="id-ID"/>
              </w:rPr>
            </w:pPr>
            <w:r w:rsidRPr="00BE5371">
              <w:rPr>
                <w:rFonts w:ascii="Times New Roman" w:hAnsi="Times New Roman"/>
                <w:b/>
                <w:bCs/>
                <w:sz w:val="24"/>
                <w:szCs w:val="24"/>
                <w:lang w:val="sv-SE"/>
              </w:rPr>
              <w:t>Variables</w:t>
            </w:r>
          </w:p>
        </w:tc>
        <w:tc>
          <w:tcPr>
            <w:tcW w:w="2340" w:type="dxa"/>
            <w:tcBorders>
              <w:top w:val="single" w:sz="4" w:space="0" w:color="auto"/>
              <w:left w:val="nil"/>
              <w:bottom w:val="single" w:sz="4" w:space="0" w:color="auto"/>
              <w:right w:val="nil"/>
            </w:tcBorders>
          </w:tcPr>
          <w:p w14:paraId="6750DAA6" w14:textId="767FBDB3" w:rsidR="008D1DC0" w:rsidRPr="00BE5371" w:rsidRDefault="008D1DC0" w:rsidP="001559E4">
            <w:pPr>
              <w:spacing w:after="0" w:line="360" w:lineRule="auto"/>
              <w:jc w:val="center"/>
              <w:rPr>
                <w:rFonts w:ascii="Times New Roman" w:hAnsi="Times New Roman"/>
                <w:b/>
                <w:bCs/>
                <w:sz w:val="24"/>
                <w:szCs w:val="24"/>
                <w:lang w:eastAsia="id-ID"/>
              </w:rPr>
            </w:pPr>
            <w:r w:rsidRPr="00BE5371">
              <w:rPr>
                <w:rFonts w:ascii="Times New Roman" w:hAnsi="Times New Roman"/>
                <w:b/>
                <w:bCs/>
                <w:sz w:val="24"/>
                <w:szCs w:val="24"/>
                <w:lang w:val="sv-SE"/>
              </w:rPr>
              <w:t>Frequency</w:t>
            </w:r>
          </w:p>
        </w:tc>
        <w:tc>
          <w:tcPr>
            <w:tcW w:w="2610" w:type="dxa"/>
            <w:tcBorders>
              <w:top w:val="single" w:sz="4" w:space="0" w:color="auto"/>
              <w:left w:val="nil"/>
              <w:bottom w:val="single" w:sz="4" w:space="0" w:color="auto"/>
              <w:right w:val="nil"/>
            </w:tcBorders>
          </w:tcPr>
          <w:p w14:paraId="23E0EED8" w14:textId="3C01A8A2" w:rsidR="008D1DC0" w:rsidRPr="00BE5371" w:rsidRDefault="008D1DC0" w:rsidP="001559E4">
            <w:pPr>
              <w:spacing w:after="0" w:line="360" w:lineRule="auto"/>
              <w:jc w:val="center"/>
              <w:rPr>
                <w:rFonts w:ascii="Times New Roman" w:hAnsi="Times New Roman"/>
                <w:b/>
                <w:bCs/>
                <w:sz w:val="24"/>
                <w:szCs w:val="24"/>
                <w:lang w:eastAsia="id-ID"/>
              </w:rPr>
            </w:pPr>
            <w:r w:rsidRPr="00BE5371">
              <w:rPr>
                <w:rFonts w:ascii="Times New Roman" w:hAnsi="Times New Roman"/>
                <w:b/>
                <w:bCs/>
                <w:sz w:val="24"/>
                <w:szCs w:val="24"/>
                <w:lang w:val="sv-SE"/>
              </w:rPr>
              <w:t>%</w:t>
            </w:r>
          </w:p>
        </w:tc>
      </w:tr>
      <w:tr w:rsidR="007942F8" w:rsidRPr="00BE5371" w14:paraId="41F748AC" w14:textId="77777777" w:rsidTr="00633A4C">
        <w:tc>
          <w:tcPr>
            <w:tcW w:w="3240" w:type="dxa"/>
            <w:tcBorders>
              <w:top w:val="single" w:sz="4" w:space="0" w:color="auto"/>
              <w:left w:val="nil"/>
              <w:bottom w:val="nil"/>
              <w:right w:val="nil"/>
            </w:tcBorders>
          </w:tcPr>
          <w:p w14:paraId="7810526E" w14:textId="239F0CD4" w:rsidR="002D1046" w:rsidRPr="00BE5371" w:rsidRDefault="008D1DC0" w:rsidP="001559E4">
            <w:pPr>
              <w:spacing w:after="0" w:line="360" w:lineRule="auto"/>
              <w:jc w:val="both"/>
              <w:rPr>
                <w:rFonts w:ascii="Times New Roman" w:hAnsi="Times New Roman"/>
                <w:b/>
                <w:bCs/>
                <w:sz w:val="24"/>
                <w:szCs w:val="24"/>
                <w:lang w:eastAsia="id-ID"/>
              </w:rPr>
            </w:pPr>
            <w:r w:rsidRPr="00BE5371">
              <w:rPr>
                <w:rFonts w:ascii="Times New Roman" w:hAnsi="Times New Roman"/>
                <w:b/>
                <w:bCs/>
                <w:sz w:val="24"/>
                <w:szCs w:val="24"/>
                <w:lang w:eastAsia="id-ID"/>
              </w:rPr>
              <w:t xml:space="preserve">Gender </w:t>
            </w:r>
          </w:p>
          <w:p w14:paraId="174907A0" w14:textId="33A23488" w:rsidR="007942F8" w:rsidRPr="00BE5371" w:rsidRDefault="008D1DC0" w:rsidP="001559E4">
            <w:pPr>
              <w:spacing w:after="0" w:line="360" w:lineRule="auto"/>
              <w:jc w:val="both"/>
              <w:rPr>
                <w:rFonts w:ascii="Times New Roman" w:hAnsi="Times New Roman"/>
                <w:sz w:val="24"/>
                <w:szCs w:val="24"/>
                <w:lang w:eastAsia="id-ID"/>
              </w:rPr>
            </w:pPr>
            <w:r w:rsidRPr="00BE5371">
              <w:rPr>
                <w:rFonts w:ascii="Times New Roman" w:hAnsi="Times New Roman"/>
                <w:sz w:val="24"/>
                <w:szCs w:val="24"/>
                <w:lang w:eastAsia="id-ID"/>
              </w:rPr>
              <w:t>Male</w:t>
            </w:r>
          </w:p>
        </w:tc>
        <w:tc>
          <w:tcPr>
            <w:tcW w:w="2340" w:type="dxa"/>
            <w:tcBorders>
              <w:top w:val="single" w:sz="4" w:space="0" w:color="auto"/>
              <w:left w:val="nil"/>
              <w:bottom w:val="nil"/>
              <w:right w:val="nil"/>
            </w:tcBorders>
          </w:tcPr>
          <w:p w14:paraId="6C31B081" w14:textId="77777777" w:rsidR="002D1046" w:rsidRPr="00BE5371" w:rsidRDefault="002D1046" w:rsidP="001559E4">
            <w:pPr>
              <w:spacing w:after="0" w:line="360" w:lineRule="auto"/>
              <w:jc w:val="center"/>
              <w:rPr>
                <w:rFonts w:ascii="Times New Roman" w:hAnsi="Times New Roman"/>
                <w:sz w:val="24"/>
                <w:szCs w:val="24"/>
                <w:lang w:eastAsia="id-ID"/>
              </w:rPr>
            </w:pPr>
          </w:p>
          <w:p w14:paraId="67B64530" w14:textId="00CA4E7D" w:rsidR="007942F8" w:rsidRPr="00BE5371" w:rsidRDefault="007942F8" w:rsidP="001559E4">
            <w:pPr>
              <w:spacing w:after="0" w:line="360" w:lineRule="auto"/>
              <w:jc w:val="center"/>
              <w:rPr>
                <w:rFonts w:ascii="Times New Roman" w:hAnsi="Times New Roman"/>
                <w:sz w:val="24"/>
                <w:szCs w:val="24"/>
                <w:lang w:eastAsia="id-ID"/>
              </w:rPr>
            </w:pPr>
            <w:r w:rsidRPr="00BE5371">
              <w:rPr>
                <w:rFonts w:ascii="Times New Roman" w:hAnsi="Times New Roman"/>
                <w:sz w:val="24"/>
                <w:szCs w:val="24"/>
                <w:lang w:eastAsia="id-ID"/>
              </w:rPr>
              <w:t>40</w:t>
            </w:r>
          </w:p>
        </w:tc>
        <w:tc>
          <w:tcPr>
            <w:tcW w:w="2610" w:type="dxa"/>
            <w:tcBorders>
              <w:top w:val="single" w:sz="4" w:space="0" w:color="auto"/>
              <w:left w:val="nil"/>
              <w:bottom w:val="nil"/>
              <w:right w:val="nil"/>
            </w:tcBorders>
          </w:tcPr>
          <w:p w14:paraId="30D04362" w14:textId="77777777" w:rsidR="002D1046" w:rsidRPr="00BE5371" w:rsidRDefault="002D1046" w:rsidP="001559E4">
            <w:pPr>
              <w:spacing w:after="0" w:line="360" w:lineRule="auto"/>
              <w:jc w:val="center"/>
              <w:rPr>
                <w:rFonts w:ascii="Times New Roman" w:hAnsi="Times New Roman"/>
                <w:sz w:val="24"/>
                <w:szCs w:val="24"/>
                <w:lang w:eastAsia="id-ID"/>
              </w:rPr>
            </w:pPr>
          </w:p>
          <w:p w14:paraId="568927E4" w14:textId="494D2D50" w:rsidR="007942F8" w:rsidRPr="00BE5371" w:rsidRDefault="007942F8" w:rsidP="001559E4">
            <w:pPr>
              <w:spacing w:after="0" w:line="360" w:lineRule="auto"/>
              <w:jc w:val="center"/>
              <w:rPr>
                <w:rFonts w:ascii="Times New Roman" w:hAnsi="Times New Roman"/>
                <w:sz w:val="24"/>
                <w:szCs w:val="24"/>
                <w:lang w:eastAsia="id-ID"/>
              </w:rPr>
            </w:pPr>
            <w:r w:rsidRPr="00BE5371">
              <w:rPr>
                <w:rFonts w:ascii="Times New Roman" w:hAnsi="Times New Roman"/>
                <w:sz w:val="24"/>
                <w:szCs w:val="24"/>
                <w:lang w:eastAsia="id-ID"/>
              </w:rPr>
              <w:t>40%</w:t>
            </w:r>
          </w:p>
        </w:tc>
      </w:tr>
      <w:tr w:rsidR="007942F8" w:rsidRPr="00BE5371" w14:paraId="37E71B50" w14:textId="77777777" w:rsidTr="00633A4C">
        <w:tc>
          <w:tcPr>
            <w:tcW w:w="3240" w:type="dxa"/>
            <w:tcBorders>
              <w:top w:val="nil"/>
              <w:left w:val="nil"/>
              <w:bottom w:val="single" w:sz="4" w:space="0" w:color="auto"/>
              <w:right w:val="nil"/>
            </w:tcBorders>
          </w:tcPr>
          <w:p w14:paraId="46ABD06A" w14:textId="56F01FCB" w:rsidR="007942F8" w:rsidRPr="00BE5371" w:rsidRDefault="008D1DC0" w:rsidP="001559E4">
            <w:pPr>
              <w:spacing w:after="0" w:line="360" w:lineRule="auto"/>
              <w:jc w:val="both"/>
              <w:rPr>
                <w:rFonts w:ascii="Times New Roman" w:hAnsi="Times New Roman"/>
                <w:sz w:val="24"/>
                <w:szCs w:val="24"/>
                <w:lang w:eastAsia="id-ID"/>
              </w:rPr>
            </w:pPr>
            <w:r w:rsidRPr="00BE5371">
              <w:rPr>
                <w:rFonts w:ascii="Times New Roman" w:hAnsi="Times New Roman"/>
                <w:sz w:val="24"/>
                <w:szCs w:val="24"/>
                <w:lang w:eastAsia="id-ID"/>
              </w:rPr>
              <w:t>Female</w:t>
            </w:r>
          </w:p>
        </w:tc>
        <w:tc>
          <w:tcPr>
            <w:tcW w:w="2340" w:type="dxa"/>
            <w:tcBorders>
              <w:top w:val="nil"/>
              <w:left w:val="nil"/>
              <w:bottom w:val="single" w:sz="4" w:space="0" w:color="auto"/>
              <w:right w:val="nil"/>
            </w:tcBorders>
          </w:tcPr>
          <w:p w14:paraId="48675BDB" w14:textId="0DBF2EF6" w:rsidR="007942F8" w:rsidRPr="00BE5371" w:rsidRDefault="007942F8" w:rsidP="001559E4">
            <w:pPr>
              <w:spacing w:after="0" w:line="360" w:lineRule="auto"/>
              <w:jc w:val="center"/>
              <w:rPr>
                <w:rFonts w:ascii="Times New Roman" w:hAnsi="Times New Roman"/>
                <w:sz w:val="24"/>
                <w:szCs w:val="24"/>
                <w:lang w:eastAsia="id-ID"/>
              </w:rPr>
            </w:pPr>
            <w:r w:rsidRPr="00BE5371">
              <w:rPr>
                <w:rFonts w:ascii="Times New Roman" w:hAnsi="Times New Roman"/>
                <w:sz w:val="24"/>
                <w:szCs w:val="24"/>
                <w:lang w:eastAsia="id-ID"/>
              </w:rPr>
              <w:t>60</w:t>
            </w:r>
          </w:p>
        </w:tc>
        <w:tc>
          <w:tcPr>
            <w:tcW w:w="2610" w:type="dxa"/>
            <w:tcBorders>
              <w:top w:val="nil"/>
              <w:left w:val="nil"/>
              <w:bottom w:val="single" w:sz="4" w:space="0" w:color="auto"/>
              <w:right w:val="nil"/>
            </w:tcBorders>
          </w:tcPr>
          <w:p w14:paraId="403BC93C" w14:textId="23EF8D36" w:rsidR="007942F8" w:rsidRPr="00BE5371" w:rsidRDefault="007942F8" w:rsidP="001559E4">
            <w:pPr>
              <w:spacing w:after="0" w:line="360" w:lineRule="auto"/>
              <w:jc w:val="center"/>
              <w:rPr>
                <w:rFonts w:ascii="Times New Roman" w:hAnsi="Times New Roman"/>
                <w:sz w:val="24"/>
                <w:szCs w:val="24"/>
                <w:lang w:eastAsia="id-ID"/>
              </w:rPr>
            </w:pPr>
            <w:r w:rsidRPr="00BE5371">
              <w:rPr>
                <w:rFonts w:ascii="Times New Roman" w:hAnsi="Times New Roman"/>
                <w:sz w:val="24"/>
                <w:szCs w:val="24"/>
                <w:lang w:eastAsia="id-ID"/>
              </w:rPr>
              <w:t>60%</w:t>
            </w:r>
          </w:p>
        </w:tc>
      </w:tr>
      <w:tr w:rsidR="007942F8" w:rsidRPr="00BE5371" w14:paraId="74D11CEC" w14:textId="77777777" w:rsidTr="00633A4C">
        <w:tc>
          <w:tcPr>
            <w:tcW w:w="3240" w:type="dxa"/>
            <w:tcBorders>
              <w:top w:val="single" w:sz="4" w:space="0" w:color="auto"/>
              <w:left w:val="nil"/>
              <w:bottom w:val="nil"/>
              <w:right w:val="nil"/>
            </w:tcBorders>
          </w:tcPr>
          <w:p w14:paraId="56C30CE6" w14:textId="59183CB0" w:rsidR="007942F8" w:rsidRPr="00BE5371" w:rsidRDefault="008D1DC0" w:rsidP="001559E4">
            <w:pPr>
              <w:spacing w:after="0" w:line="360" w:lineRule="auto"/>
              <w:jc w:val="both"/>
              <w:rPr>
                <w:rFonts w:ascii="Times New Roman" w:hAnsi="Times New Roman"/>
                <w:b/>
                <w:bCs/>
                <w:sz w:val="24"/>
                <w:szCs w:val="24"/>
                <w:lang w:eastAsia="id-ID"/>
              </w:rPr>
            </w:pPr>
            <w:r w:rsidRPr="00BE5371">
              <w:rPr>
                <w:rFonts w:ascii="Times New Roman" w:hAnsi="Times New Roman"/>
                <w:b/>
                <w:bCs/>
                <w:sz w:val="24"/>
                <w:szCs w:val="24"/>
                <w:lang w:eastAsia="id-ID"/>
              </w:rPr>
              <w:t>Age</w:t>
            </w:r>
          </w:p>
        </w:tc>
        <w:tc>
          <w:tcPr>
            <w:tcW w:w="2340" w:type="dxa"/>
            <w:tcBorders>
              <w:top w:val="single" w:sz="4" w:space="0" w:color="auto"/>
              <w:left w:val="nil"/>
              <w:bottom w:val="nil"/>
              <w:right w:val="nil"/>
            </w:tcBorders>
          </w:tcPr>
          <w:p w14:paraId="13D2B0FE" w14:textId="1C843FD2" w:rsidR="007942F8" w:rsidRPr="00BE5371" w:rsidRDefault="007942F8" w:rsidP="001559E4">
            <w:pPr>
              <w:spacing w:after="0" w:line="360" w:lineRule="auto"/>
              <w:jc w:val="center"/>
              <w:rPr>
                <w:rFonts w:ascii="Times New Roman" w:hAnsi="Times New Roman"/>
                <w:sz w:val="24"/>
                <w:szCs w:val="24"/>
                <w:lang w:eastAsia="id-ID"/>
              </w:rPr>
            </w:pPr>
          </w:p>
        </w:tc>
        <w:tc>
          <w:tcPr>
            <w:tcW w:w="2610" w:type="dxa"/>
            <w:tcBorders>
              <w:top w:val="single" w:sz="4" w:space="0" w:color="auto"/>
              <w:left w:val="nil"/>
              <w:bottom w:val="nil"/>
              <w:right w:val="nil"/>
            </w:tcBorders>
          </w:tcPr>
          <w:p w14:paraId="14DCC729" w14:textId="40B5E0F7" w:rsidR="007942F8" w:rsidRPr="00BE5371" w:rsidRDefault="007942F8" w:rsidP="001559E4">
            <w:pPr>
              <w:spacing w:after="0" w:line="360" w:lineRule="auto"/>
              <w:jc w:val="center"/>
              <w:rPr>
                <w:rFonts w:ascii="Times New Roman" w:hAnsi="Times New Roman"/>
                <w:sz w:val="24"/>
                <w:szCs w:val="24"/>
                <w:lang w:eastAsia="id-ID"/>
              </w:rPr>
            </w:pPr>
          </w:p>
        </w:tc>
      </w:tr>
      <w:tr w:rsidR="002D1046" w:rsidRPr="00BE5371" w14:paraId="6DC263AA" w14:textId="77777777" w:rsidTr="00633A4C">
        <w:tc>
          <w:tcPr>
            <w:tcW w:w="3240" w:type="dxa"/>
            <w:tcBorders>
              <w:top w:val="nil"/>
              <w:left w:val="nil"/>
              <w:bottom w:val="nil"/>
              <w:right w:val="nil"/>
            </w:tcBorders>
          </w:tcPr>
          <w:p w14:paraId="4DDC3C31" w14:textId="139027AA" w:rsidR="002D1046" w:rsidRPr="00BE5371" w:rsidRDefault="002D1046" w:rsidP="001559E4">
            <w:pPr>
              <w:spacing w:after="0" w:line="360" w:lineRule="auto"/>
              <w:rPr>
                <w:rFonts w:ascii="Times New Roman" w:hAnsi="Times New Roman"/>
                <w:sz w:val="24"/>
                <w:szCs w:val="24"/>
                <w:lang w:eastAsia="id-ID"/>
              </w:rPr>
            </w:pPr>
            <w:r w:rsidRPr="00BE5371">
              <w:rPr>
                <w:rFonts w:ascii="Times New Roman" w:hAnsi="Times New Roman"/>
                <w:sz w:val="24"/>
                <w:szCs w:val="24"/>
                <w:lang w:eastAsia="id-ID"/>
              </w:rPr>
              <w:t>18-59</w:t>
            </w:r>
          </w:p>
        </w:tc>
        <w:tc>
          <w:tcPr>
            <w:tcW w:w="2340" w:type="dxa"/>
            <w:tcBorders>
              <w:top w:val="nil"/>
              <w:left w:val="nil"/>
              <w:bottom w:val="nil"/>
              <w:right w:val="nil"/>
            </w:tcBorders>
          </w:tcPr>
          <w:p w14:paraId="14FE1180" w14:textId="1C4E5E75" w:rsidR="002D1046" w:rsidRPr="00BE5371" w:rsidRDefault="002D1046" w:rsidP="001559E4">
            <w:pPr>
              <w:spacing w:after="0" w:line="360" w:lineRule="auto"/>
              <w:jc w:val="center"/>
              <w:rPr>
                <w:rFonts w:ascii="Times New Roman" w:hAnsi="Times New Roman"/>
                <w:sz w:val="24"/>
                <w:szCs w:val="24"/>
                <w:lang w:eastAsia="id-ID"/>
              </w:rPr>
            </w:pPr>
            <w:r w:rsidRPr="00BE5371">
              <w:rPr>
                <w:rFonts w:ascii="Times New Roman" w:hAnsi="Times New Roman"/>
                <w:sz w:val="24"/>
                <w:szCs w:val="24"/>
                <w:lang w:eastAsia="id-ID"/>
              </w:rPr>
              <w:t>93</w:t>
            </w:r>
          </w:p>
        </w:tc>
        <w:tc>
          <w:tcPr>
            <w:tcW w:w="2610" w:type="dxa"/>
            <w:tcBorders>
              <w:top w:val="nil"/>
              <w:left w:val="nil"/>
              <w:bottom w:val="nil"/>
              <w:right w:val="nil"/>
            </w:tcBorders>
          </w:tcPr>
          <w:p w14:paraId="71F20BFA" w14:textId="058A5CBD" w:rsidR="002D1046" w:rsidRPr="00BE5371" w:rsidRDefault="002D1046" w:rsidP="001559E4">
            <w:pPr>
              <w:spacing w:after="0" w:line="360" w:lineRule="auto"/>
              <w:jc w:val="center"/>
              <w:rPr>
                <w:rFonts w:ascii="Times New Roman" w:hAnsi="Times New Roman"/>
                <w:sz w:val="24"/>
                <w:szCs w:val="24"/>
                <w:lang w:eastAsia="id-ID"/>
              </w:rPr>
            </w:pPr>
            <w:r w:rsidRPr="00BE5371">
              <w:rPr>
                <w:rFonts w:ascii="Times New Roman" w:hAnsi="Times New Roman"/>
                <w:sz w:val="24"/>
                <w:szCs w:val="24"/>
                <w:lang w:eastAsia="id-ID"/>
              </w:rPr>
              <w:t>93%</w:t>
            </w:r>
          </w:p>
        </w:tc>
      </w:tr>
      <w:tr w:rsidR="002D1046" w:rsidRPr="00BE5371" w14:paraId="6A44007C" w14:textId="77777777" w:rsidTr="00633A4C">
        <w:tc>
          <w:tcPr>
            <w:tcW w:w="3240" w:type="dxa"/>
            <w:tcBorders>
              <w:top w:val="nil"/>
              <w:left w:val="nil"/>
              <w:bottom w:val="single" w:sz="4" w:space="0" w:color="auto"/>
              <w:right w:val="nil"/>
            </w:tcBorders>
          </w:tcPr>
          <w:p w14:paraId="557655AF" w14:textId="281474E9" w:rsidR="002D1046" w:rsidRPr="00BE5371" w:rsidRDefault="002D1046" w:rsidP="001559E4">
            <w:pPr>
              <w:spacing w:after="0" w:line="360" w:lineRule="auto"/>
              <w:jc w:val="both"/>
              <w:rPr>
                <w:rFonts w:ascii="Times New Roman" w:hAnsi="Times New Roman"/>
                <w:sz w:val="24"/>
                <w:szCs w:val="24"/>
                <w:lang w:eastAsia="id-ID"/>
              </w:rPr>
            </w:pPr>
            <w:r w:rsidRPr="00BE5371">
              <w:rPr>
                <w:rFonts w:ascii="Times New Roman" w:hAnsi="Times New Roman"/>
                <w:sz w:val="24"/>
                <w:szCs w:val="24"/>
                <w:lang w:eastAsia="id-ID"/>
              </w:rPr>
              <w:t xml:space="preserve">≥ 60 </w:t>
            </w:r>
          </w:p>
        </w:tc>
        <w:tc>
          <w:tcPr>
            <w:tcW w:w="2340" w:type="dxa"/>
            <w:tcBorders>
              <w:top w:val="nil"/>
              <w:left w:val="nil"/>
              <w:bottom w:val="single" w:sz="4" w:space="0" w:color="auto"/>
              <w:right w:val="nil"/>
            </w:tcBorders>
          </w:tcPr>
          <w:p w14:paraId="37C20E30" w14:textId="33D5D59A" w:rsidR="002D1046" w:rsidRPr="00BE5371" w:rsidRDefault="002D1046" w:rsidP="001559E4">
            <w:pPr>
              <w:spacing w:after="0" w:line="360" w:lineRule="auto"/>
              <w:jc w:val="center"/>
              <w:rPr>
                <w:rFonts w:ascii="Times New Roman" w:hAnsi="Times New Roman"/>
                <w:sz w:val="24"/>
                <w:szCs w:val="24"/>
                <w:lang w:eastAsia="id-ID"/>
              </w:rPr>
            </w:pPr>
            <w:r w:rsidRPr="00BE5371">
              <w:rPr>
                <w:rFonts w:ascii="Times New Roman" w:hAnsi="Times New Roman"/>
                <w:sz w:val="24"/>
                <w:szCs w:val="24"/>
                <w:lang w:eastAsia="id-ID"/>
              </w:rPr>
              <w:t>7</w:t>
            </w:r>
          </w:p>
        </w:tc>
        <w:tc>
          <w:tcPr>
            <w:tcW w:w="2610" w:type="dxa"/>
            <w:tcBorders>
              <w:top w:val="nil"/>
              <w:left w:val="nil"/>
              <w:bottom w:val="single" w:sz="4" w:space="0" w:color="auto"/>
              <w:right w:val="nil"/>
            </w:tcBorders>
          </w:tcPr>
          <w:p w14:paraId="2AA72BB1" w14:textId="2D704F4F" w:rsidR="002D1046" w:rsidRPr="00BE5371" w:rsidRDefault="002D1046" w:rsidP="001559E4">
            <w:pPr>
              <w:spacing w:after="0" w:line="360" w:lineRule="auto"/>
              <w:jc w:val="center"/>
              <w:rPr>
                <w:rFonts w:ascii="Times New Roman" w:hAnsi="Times New Roman"/>
                <w:sz w:val="24"/>
                <w:szCs w:val="24"/>
                <w:lang w:eastAsia="id-ID"/>
              </w:rPr>
            </w:pPr>
            <w:r w:rsidRPr="00BE5371">
              <w:rPr>
                <w:rFonts w:ascii="Times New Roman" w:hAnsi="Times New Roman"/>
                <w:sz w:val="24"/>
                <w:szCs w:val="24"/>
                <w:lang w:eastAsia="id-ID"/>
              </w:rPr>
              <w:t>7%</w:t>
            </w:r>
          </w:p>
        </w:tc>
      </w:tr>
      <w:tr w:rsidR="002D1046" w:rsidRPr="00BE5371" w14:paraId="6820C26C" w14:textId="77777777" w:rsidTr="00633A4C">
        <w:tc>
          <w:tcPr>
            <w:tcW w:w="3240" w:type="dxa"/>
            <w:tcBorders>
              <w:top w:val="single" w:sz="4" w:space="0" w:color="auto"/>
              <w:left w:val="nil"/>
              <w:bottom w:val="single" w:sz="4" w:space="0" w:color="auto"/>
              <w:right w:val="nil"/>
            </w:tcBorders>
          </w:tcPr>
          <w:p w14:paraId="53564DA6" w14:textId="4CFF310D" w:rsidR="002D1046" w:rsidRPr="00BE5371" w:rsidRDefault="002D1046" w:rsidP="001559E4">
            <w:pPr>
              <w:spacing w:after="0" w:line="360" w:lineRule="auto"/>
              <w:jc w:val="both"/>
              <w:rPr>
                <w:rFonts w:ascii="Times New Roman" w:hAnsi="Times New Roman"/>
                <w:sz w:val="24"/>
                <w:szCs w:val="24"/>
                <w:lang w:eastAsia="id-ID"/>
              </w:rPr>
            </w:pPr>
            <w:r w:rsidRPr="00BE5371">
              <w:rPr>
                <w:rFonts w:ascii="Times New Roman" w:hAnsi="Times New Roman"/>
                <w:sz w:val="24"/>
                <w:szCs w:val="24"/>
                <w:lang w:eastAsia="id-ID"/>
              </w:rPr>
              <w:lastRenderedPageBreak/>
              <w:t>Total</w:t>
            </w:r>
          </w:p>
        </w:tc>
        <w:tc>
          <w:tcPr>
            <w:tcW w:w="2340" w:type="dxa"/>
            <w:tcBorders>
              <w:top w:val="single" w:sz="4" w:space="0" w:color="auto"/>
              <w:left w:val="nil"/>
              <w:bottom w:val="single" w:sz="4" w:space="0" w:color="auto"/>
              <w:right w:val="nil"/>
            </w:tcBorders>
          </w:tcPr>
          <w:p w14:paraId="30EDB58B" w14:textId="6E7DB433" w:rsidR="002D1046" w:rsidRPr="00BE5371" w:rsidRDefault="002D1046" w:rsidP="001559E4">
            <w:pPr>
              <w:spacing w:after="0" w:line="360" w:lineRule="auto"/>
              <w:jc w:val="center"/>
              <w:rPr>
                <w:rFonts w:ascii="Times New Roman" w:hAnsi="Times New Roman"/>
                <w:sz w:val="24"/>
                <w:szCs w:val="24"/>
                <w:lang w:eastAsia="id-ID"/>
              </w:rPr>
            </w:pPr>
            <w:r w:rsidRPr="00BE5371">
              <w:rPr>
                <w:rFonts w:ascii="Times New Roman" w:hAnsi="Times New Roman"/>
                <w:sz w:val="24"/>
                <w:szCs w:val="24"/>
                <w:lang w:eastAsia="id-ID"/>
              </w:rPr>
              <w:t>100</w:t>
            </w:r>
          </w:p>
        </w:tc>
        <w:tc>
          <w:tcPr>
            <w:tcW w:w="2610" w:type="dxa"/>
            <w:tcBorders>
              <w:top w:val="single" w:sz="4" w:space="0" w:color="auto"/>
              <w:left w:val="nil"/>
              <w:bottom w:val="single" w:sz="4" w:space="0" w:color="auto"/>
              <w:right w:val="nil"/>
            </w:tcBorders>
          </w:tcPr>
          <w:p w14:paraId="2A5A5FFA" w14:textId="6776FC97" w:rsidR="002D1046" w:rsidRPr="00BE5371" w:rsidRDefault="002D1046" w:rsidP="001559E4">
            <w:pPr>
              <w:spacing w:after="0" w:line="360" w:lineRule="auto"/>
              <w:jc w:val="center"/>
              <w:rPr>
                <w:rFonts w:ascii="Times New Roman" w:hAnsi="Times New Roman"/>
                <w:sz w:val="24"/>
                <w:szCs w:val="24"/>
                <w:lang w:eastAsia="id-ID"/>
              </w:rPr>
            </w:pPr>
            <w:r w:rsidRPr="00BE5371">
              <w:rPr>
                <w:rFonts w:ascii="Times New Roman" w:hAnsi="Times New Roman"/>
                <w:sz w:val="24"/>
                <w:szCs w:val="24"/>
                <w:lang w:eastAsia="id-ID"/>
              </w:rPr>
              <w:t>100%</w:t>
            </w:r>
          </w:p>
        </w:tc>
      </w:tr>
    </w:tbl>
    <w:p w14:paraId="013A5B94" w14:textId="77777777" w:rsidR="007942F8" w:rsidRPr="00BE5371" w:rsidRDefault="007942F8" w:rsidP="001559E4">
      <w:pPr>
        <w:spacing w:after="0" w:line="360" w:lineRule="auto"/>
        <w:ind w:firstLine="425"/>
        <w:jc w:val="both"/>
        <w:rPr>
          <w:rFonts w:ascii="Times New Roman" w:hAnsi="Times New Roman"/>
          <w:sz w:val="20"/>
          <w:szCs w:val="20"/>
          <w:lang w:eastAsia="id-ID"/>
        </w:rPr>
      </w:pPr>
      <w:r w:rsidRPr="00BE5371">
        <w:rPr>
          <w:rFonts w:ascii="Times New Roman" w:hAnsi="Times New Roman"/>
          <w:sz w:val="20"/>
          <w:szCs w:val="20"/>
          <w:lang w:eastAsia="id-ID"/>
        </w:rPr>
        <w:t>Sumber : Data Primer 2025</w:t>
      </w:r>
    </w:p>
    <w:p w14:paraId="444A2BD4" w14:textId="77777777" w:rsidR="002D1046" w:rsidRPr="00BE5371" w:rsidRDefault="002D1046" w:rsidP="001559E4">
      <w:pPr>
        <w:spacing w:after="0" w:line="360" w:lineRule="auto"/>
        <w:ind w:firstLine="425"/>
        <w:jc w:val="both"/>
        <w:rPr>
          <w:rFonts w:ascii="Times New Roman" w:hAnsi="Times New Roman"/>
          <w:sz w:val="24"/>
          <w:szCs w:val="24"/>
          <w:lang w:eastAsia="id-ID"/>
        </w:rPr>
      </w:pPr>
    </w:p>
    <w:p w14:paraId="564D24A6" w14:textId="62CD4424" w:rsidR="00AD68EB" w:rsidRPr="00BE5371" w:rsidRDefault="00AD68EB" w:rsidP="001559E4">
      <w:pPr>
        <w:spacing w:after="0" w:line="360" w:lineRule="auto"/>
        <w:ind w:firstLine="425"/>
        <w:jc w:val="both"/>
        <w:rPr>
          <w:rFonts w:ascii="Times New Roman" w:hAnsi="Times New Roman"/>
          <w:sz w:val="28"/>
          <w:szCs w:val="28"/>
        </w:rPr>
      </w:pPr>
      <w:r w:rsidRPr="00BE5371">
        <w:rPr>
          <w:rFonts w:ascii="Times New Roman" w:hAnsi="Times New Roman"/>
          <w:sz w:val="24"/>
          <w:szCs w:val="24"/>
        </w:rPr>
        <w:t>As illustrated in Table 1, the demographic profile of the participants reveals that the majority of respondents were female, accounting for 60% of the sample (n=60). Regarding age distribution, the vast majority fell within the adult age range of 18–59 years, comprising 93 respondents (93%). This distribution suggests a high representation of the productive-age population, which may influence the subjective assessment of service quality and performance determinants.</w:t>
      </w:r>
    </w:p>
    <w:p w14:paraId="5336C3E1" w14:textId="0EBB1B06" w:rsidR="00AD68EB" w:rsidRPr="00BE5371" w:rsidRDefault="00AD68EB" w:rsidP="001559E4">
      <w:pPr>
        <w:spacing w:after="0" w:line="360" w:lineRule="auto"/>
        <w:ind w:firstLine="425"/>
        <w:jc w:val="both"/>
        <w:rPr>
          <w:rFonts w:ascii="Times New Roman" w:hAnsi="Times New Roman"/>
          <w:sz w:val="28"/>
          <w:szCs w:val="28"/>
        </w:rPr>
      </w:pPr>
      <w:r w:rsidRPr="00BE5371">
        <w:rPr>
          <w:rFonts w:ascii="Times New Roman" w:hAnsi="Times New Roman"/>
          <w:sz w:val="24"/>
          <w:szCs w:val="24"/>
        </w:rPr>
        <w:t>The findings reveal a predominant female representation, accounting for 60% of the total respondents (n=60). This demographic trend suggests that women utilize healthcare services more frequently than men, a phenomenon potentially driven by higher morbidity rates among the female population</w:t>
      </w:r>
      <w:r w:rsidR="00C446D7" w:rsidRPr="00BE5371">
        <w:rPr>
          <w:rFonts w:ascii="Times New Roman" w:hAnsi="Times New Roman"/>
          <w:sz w:val="24"/>
          <w:szCs w:val="24"/>
        </w:rPr>
        <w:t xml:space="preserve"> </w:t>
      </w:r>
      <w:r w:rsidR="00C446D7" w:rsidRPr="00BE537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{"citationItems":[{"id":"ITEM-1","itemData":{"DOI":"10.1002/14651858.CD014217.","author":[{"dropping-particle":"","family":"Crider KS, Williams JL, Qi YP, Gutman J, Yeung LF, Mai CT, Finkelstein JL, Mehta S, Pons-Duran C, Menéndez C, Moraleda C, Rogers LM, Daniels K","given":"Green P","non-dropping-particle":"","parse-names":false,"suffix":""}],"container-title":"Cochrane Database Syst Rev","id":"ITEM-1","issue":"1-19","issued":{"date-parts":[["2022"]]},"page":"2","title":"Folic acid supplementation and malaria susceptibility and severity among people taking antifolate antimalarial drugs in endemic areas (Protocol)","type":"article-journal","volume":"18"},"uris":["http://www.mendeley.com/documents/?uuid=efdf96e5-c4df-461e-9750-33d8cf248bcd"]}],"mendeley":{"formattedCitation":"[9]","plainTextFormattedCitation":"[9]","previouslyFormattedCitation":"[9]"},"properties":{"noteIndex":0},"schema":"https://github.com/citation-style-language/schema/raw/master/csl-citation.json"}</w:instrText>
      </w:r>
      <w:r w:rsidR="00C446D7" w:rsidRPr="00BE5371">
        <w:rPr>
          <w:rFonts w:ascii="Times New Roman" w:hAnsi="Times New Roman"/>
          <w:sz w:val="24"/>
          <w:szCs w:val="24"/>
        </w:rPr>
        <w:fldChar w:fldCharType="separate"/>
      </w:r>
      <w:r w:rsidR="00AF5B51" w:rsidRPr="00AF5B51">
        <w:rPr>
          <w:rFonts w:ascii="Times New Roman" w:hAnsi="Times New Roman"/>
          <w:noProof/>
          <w:sz w:val="24"/>
          <w:szCs w:val="24"/>
        </w:rPr>
        <w:t>[9]</w:t>
      </w:r>
      <w:r w:rsidR="00C446D7" w:rsidRPr="00BE5371">
        <w:rPr>
          <w:rFonts w:ascii="Times New Roman" w:hAnsi="Times New Roman"/>
          <w:sz w:val="24"/>
          <w:szCs w:val="24"/>
        </w:rPr>
        <w:fldChar w:fldCharType="end"/>
      </w:r>
      <w:r w:rsidRPr="00BE5371">
        <w:rPr>
          <w:rFonts w:ascii="Times New Roman" w:hAnsi="Times New Roman"/>
          <w:sz w:val="24"/>
          <w:szCs w:val="24"/>
        </w:rPr>
        <w:t xml:space="preserve">. Such a gender-skewed distribution significantly shapes the evaluative landscape of the study. </w:t>
      </w:r>
      <w:r w:rsidR="00C446D7" w:rsidRPr="00BE5371">
        <w:rPr>
          <w:rFonts w:ascii="Times New Roman" w:hAnsi="Times New Roman"/>
          <w:sz w:val="24"/>
          <w:szCs w:val="24"/>
        </w:rPr>
        <w:t xml:space="preserve">This corresponds to </w:t>
      </w:r>
      <w:r w:rsidRPr="00BE5371">
        <w:rPr>
          <w:rFonts w:ascii="Times New Roman" w:hAnsi="Times New Roman"/>
          <w:sz w:val="24"/>
          <w:szCs w:val="24"/>
        </w:rPr>
        <w:t>women often demonstrate higher emotional engagement when assessing healthcare delivery. Consequently, their perceptions of nurse performance and service quality are frequently filtered through interpersonal and empathetic lenses, providing a more nuanced—albeit subjective—assessment of the clinical environment</w:t>
      </w:r>
      <w:r w:rsidR="00C446D7" w:rsidRPr="00BE5371">
        <w:rPr>
          <w:rFonts w:ascii="Times New Roman" w:hAnsi="Times New Roman"/>
          <w:sz w:val="24"/>
          <w:szCs w:val="24"/>
        </w:rPr>
        <w:t xml:space="preserve"> </w:t>
      </w:r>
      <w:r w:rsidR="00C446D7" w:rsidRPr="00BE537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{"citationItems":[{"id":"ITEM-1","itemData":{"author":[{"dropping-particle":"","family":"apriani, mentari; surekiarti","given":"Enok","non-dropping-particle":"","parse-names":false,"suffix":""}],"container-title":"Borneo Student Research","id":"ITEM-1","issue":"2","issued":{"date-parts":[["2021"]]},"page":"987-993","title":"Hubungan Kinerja Perawat Terhadap Daya Tanggap Mutu Pelayanan Keperawatan Di RSIA Quratta A ’ yun Samarinda Tahun 2020","type":"article-journal","volume":"2"},"uris":["http://www.mendeley.com/documents/?uuid=ebd33ed8-5ecd-467f-bbd3-f1c7db28b7ef"]}],"mendeley":{"formattedCitation":"[10]","plainTextFormattedCitation":"[10]","previouslyFormattedCitation":"[10]"},"properties":{"noteIndex":0},"schema":"https://github.com/citation-style-language/schema/raw/master/csl-citation.json"}</w:instrText>
      </w:r>
      <w:r w:rsidR="00C446D7" w:rsidRPr="00BE5371">
        <w:rPr>
          <w:rFonts w:ascii="Times New Roman" w:hAnsi="Times New Roman"/>
          <w:sz w:val="24"/>
          <w:szCs w:val="24"/>
        </w:rPr>
        <w:fldChar w:fldCharType="separate"/>
      </w:r>
      <w:r w:rsidR="00AF5B51" w:rsidRPr="00AF5B51">
        <w:rPr>
          <w:rFonts w:ascii="Times New Roman" w:hAnsi="Times New Roman"/>
          <w:noProof/>
          <w:sz w:val="24"/>
          <w:szCs w:val="24"/>
        </w:rPr>
        <w:t>[10]</w:t>
      </w:r>
      <w:r w:rsidR="00C446D7" w:rsidRPr="00BE5371">
        <w:rPr>
          <w:rFonts w:ascii="Times New Roman" w:hAnsi="Times New Roman"/>
          <w:sz w:val="24"/>
          <w:szCs w:val="24"/>
        </w:rPr>
        <w:fldChar w:fldCharType="end"/>
      </w:r>
      <w:r w:rsidR="00C446D7" w:rsidRPr="00BE5371">
        <w:rPr>
          <w:rFonts w:ascii="Times New Roman" w:hAnsi="Times New Roman"/>
          <w:sz w:val="24"/>
          <w:szCs w:val="24"/>
        </w:rPr>
        <w:t>.</w:t>
      </w:r>
    </w:p>
    <w:p w14:paraId="6615DF2F" w14:textId="1EE18789" w:rsidR="00051526" w:rsidRPr="00BE5371" w:rsidRDefault="00051526" w:rsidP="001559E4">
      <w:pPr>
        <w:spacing w:after="0" w:line="360" w:lineRule="auto"/>
        <w:ind w:firstLine="425"/>
        <w:jc w:val="both"/>
        <w:rPr>
          <w:rFonts w:ascii="Times New Roman" w:hAnsi="Times New Roman"/>
          <w:sz w:val="28"/>
          <w:szCs w:val="28"/>
        </w:rPr>
      </w:pPr>
      <w:r w:rsidRPr="00BE5371">
        <w:rPr>
          <w:rFonts w:ascii="Times New Roman" w:hAnsi="Times New Roman"/>
          <w:sz w:val="24"/>
          <w:szCs w:val="24"/>
        </w:rPr>
        <w:t xml:space="preserve">The majority of respondents were aged 18–59 years, accounting for 93 individuals (93%) with an average age of 50.7 years. According to the Indonesian Ministry of Health (2009), the age range between 46 and 55 years falls into the pre-elderly phase, during which the risk of various non-communicable diseases increases. This explains the frequent finding of respondents in this age group, as health risks naturally escalate with advancing age, a trend also demonstrated in a study using secondary data from the 2022 South Jakarta BPJS Health screening </w:t>
      </w:r>
      <w:r w:rsidRPr="00BE537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{"citationItems":[{"id":"ITEM-1","itemData":{"author":[{"dropping-particle":"","family":"pratiwi, putri delyana; rokhmiati, eka; istiani","given":"hari ghanesia","non-dropping-particle":"","parse-names":false,"suffix":""}],"container-title":"CENDEKIA UTAMA Jurnal Keperawatan dan Kesehatan Masyarakat","id":"ITEM-1","issue":"1","issued":{"date-parts":[["2024"]]},"page":"32-43","title":"HUBUNGAN UMUR DAN JENIS KELAMIN DENGAN RISIKO PENYAKIT TIDAK MENULAR ( PTM ) BERDASARKAN DATA SKRINING KESEHATAN BPJS JAKARTA SELATAN TAHUN 2022 LATAR BELAKANG Saat ini , dunia sedang menghadapi transisi epidemiologis , perubahan gambaran klinis dari peny","type":"article-journal","volume":"13"},"uris":["http://www.mendeley.com/documents/?uuid=cbca1d8c-e8b6-4491-89a8-a0d5d9f894c6"]}],"mendeley":{"formattedCitation":"[11]","plainTextFormattedCitation":"[11]","previouslyFormattedCitation":"[11]"},"properties":{"noteIndex":0},"schema":"https://github.com/citation-style-language/schema/raw/master/csl-citation.json"}</w:instrText>
      </w:r>
      <w:r w:rsidRPr="00BE5371">
        <w:rPr>
          <w:rFonts w:ascii="Times New Roman" w:hAnsi="Times New Roman"/>
          <w:sz w:val="24"/>
          <w:szCs w:val="24"/>
        </w:rPr>
        <w:fldChar w:fldCharType="separate"/>
      </w:r>
      <w:r w:rsidR="00AF5B51" w:rsidRPr="00AF5B51">
        <w:rPr>
          <w:rFonts w:ascii="Times New Roman" w:hAnsi="Times New Roman"/>
          <w:noProof/>
          <w:sz w:val="24"/>
          <w:szCs w:val="24"/>
        </w:rPr>
        <w:t>[11]</w:t>
      </w:r>
      <w:r w:rsidRPr="00BE5371">
        <w:rPr>
          <w:rFonts w:ascii="Times New Roman" w:hAnsi="Times New Roman"/>
          <w:sz w:val="24"/>
          <w:szCs w:val="24"/>
        </w:rPr>
        <w:fldChar w:fldCharType="end"/>
      </w:r>
      <w:r w:rsidRPr="00BE5371">
        <w:rPr>
          <w:rFonts w:ascii="Times New Roman" w:hAnsi="Times New Roman"/>
          <w:sz w:val="24"/>
          <w:szCs w:val="24"/>
        </w:rPr>
        <w:t>.</w:t>
      </w:r>
    </w:p>
    <w:p w14:paraId="55526997" w14:textId="23E4D67E" w:rsidR="00633A4C" w:rsidRPr="00BE5371" w:rsidRDefault="00633A4C" w:rsidP="001559E4">
      <w:pPr>
        <w:spacing w:after="0" w:line="360" w:lineRule="auto"/>
        <w:rPr>
          <w:rFonts w:ascii="Times New Roman" w:hAnsi="Times New Roman"/>
          <w:sz w:val="24"/>
          <w:szCs w:val="24"/>
        </w:rPr>
      </w:pPr>
    </w:p>
    <w:p w14:paraId="580E3438" w14:textId="47850660" w:rsidR="00CC696F" w:rsidRPr="00BE5371" w:rsidRDefault="00CC696F" w:rsidP="001559E4">
      <w:pPr>
        <w:spacing w:after="0" w:line="360" w:lineRule="auto"/>
        <w:ind w:left="90" w:right="-424"/>
        <w:jc w:val="center"/>
        <w:rPr>
          <w:rFonts w:ascii="Times New Roman" w:hAnsi="Times New Roman"/>
          <w:color w:val="000000"/>
          <w:sz w:val="24"/>
          <w:szCs w:val="24"/>
          <w:lang w:eastAsia="id-ID"/>
        </w:rPr>
      </w:pPr>
      <w:r w:rsidRPr="001559E4">
        <w:rPr>
          <w:rFonts w:ascii="Times New Roman" w:hAnsi="Times New Roman"/>
          <w:b/>
          <w:sz w:val="24"/>
          <w:szCs w:val="24"/>
        </w:rPr>
        <w:t>Tabel 2.</w:t>
      </w:r>
      <w:r w:rsidRPr="00BE5371">
        <w:rPr>
          <w:rFonts w:ascii="Times New Roman" w:hAnsi="Times New Roman"/>
          <w:sz w:val="24"/>
          <w:szCs w:val="24"/>
        </w:rPr>
        <w:t xml:space="preserve"> </w:t>
      </w:r>
      <w:r w:rsidR="00633A4C" w:rsidRPr="00BE5371">
        <w:rPr>
          <w:rFonts w:ascii="Times New Roman" w:hAnsi="Times New Roman"/>
          <w:sz w:val="24"/>
          <w:szCs w:val="24"/>
        </w:rPr>
        <w:t>The Distribution of Nurse Therapeutic Communication with Inpatient Service Quality</w:t>
      </w:r>
    </w:p>
    <w:tbl>
      <w:tblPr>
        <w:tblStyle w:val="TableGrid"/>
        <w:tblW w:w="743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64"/>
        <w:gridCol w:w="654"/>
        <w:gridCol w:w="720"/>
        <w:gridCol w:w="555"/>
        <w:gridCol w:w="1167"/>
        <w:gridCol w:w="711"/>
        <w:gridCol w:w="692"/>
        <w:gridCol w:w="1173"/>
      </w:tblGrid>
      <w:tr w:rsidR="009C5111" w:rsidRPr="00BE5371" w14:paraId="7C4A1B03" w14:textId="77777777" w:rsidTr="00633A4C">
        <w:trPr>
          <w:trHeight w:val="242"/>
        </w:trPr>
        <w:tc>
          <w:tcPr>
            <w:tcW w:w="1764" w:type="dxa"/>
            <w:vMerge w:val="restart"/>
            <w:tcBorders>
              <w:top w:val="single" w:sz="4" w:space="0" w:color="auto"/>
            </w:tcBorders>
          </w:tcPr>
          <w:p w14:paraId="7166C4A3" w14:textId="3B0B2EB0" w:rsidR="009C5111" w:rsidRPr="00BE5371" w:rsidRDefault="00633A4C" w:rsidP="001559E4">
            <w:pPr>
              <w:pStyle w:val="NormalWeb"/>
              <w:spacing w:before="0" w:beforeAutospacing="0" w:after="0" w:afterAutospacing="0" w:line="360" w:lineRule="auto"/>
            </w:pPr>
            <w:r w:rsidRPr="00BE5371">
              <w:rPr>
                <w:color w:val="000000"/>
                <w:lang w:eastAsia="id-ID"/>
              </w:rPr>
              <w:t>Therapeutic Communication</w:t>
            </w:r>
          </w:p>
        </w:tc>
        <w:tc>
          <w:tcPr>
            <w:tcW w:w="3096" w:type="dxa"/>
            <w:gridSpan w:val="4"/>
            <w:tcBorders>
              <w:top w:val="single" w:sz="4" w:space="0" w:color="auto"/>
              <w:bottom w:val="single" w:sz="4" w:space="0" w:color="auto"/>
            </w:tcBorders>
            <w:vAlign w:val="center"/>
          </w:tcPr>
          <w:p w14:paraId="0E92A46B" w14:textId="7190A849" w:rsidR="009C5111" w:rsidRPr="00BE5371" w:rsidRDefault="00633A4C" w:rsidP="001559E4">
            <w:pPr>
              <w:pStyle w:val="NormalWeb"/>
              <w:spacing w:before="0" w:beforeAutospacing="0" w:after="0" w:afterAutospacing="0" w:line="360" w:lineRule="auto"/>
              <w:jc w:val="center"/>
            </w:pPr>
            <w:r w:rsidRPr="00BE5371">
              <w:rPr>
                <w:color w:val="000000"/>
                <w:lang w:eastAsia="id-ID"/>
              </w:rPr>
              <w:t>Quality of Service</w:t>
            </w:r>
          </w:p>
        </w:tc>
        <w:tc>
          <w:tcPr>
            <w:tcW w:w="711" w:type="dxa"/>
            <w:tcBorders>
              <w:top w:val="single" w:sz="4" w:space="0" w:color="auto"/>
              <w:bottom w:val="single" w:sz="4" w:space="0" w:color="auto"/>
            </w:tcBorders>
          </w:tcPr>
          <w:p w14:paraId="2ABA5272" w14:textId="77777777" w:rsidR="009C5111" w:rsidRPr="00BE5371" w:rsidRDefault="009C5111" w:rsidP="001559E4">
            <w:pPr>
              <w:pStyle w:val="NormalWeb"/>
              <w:spacing w:before="0" w:beforeAutospacing="0" w:after="0" w:afterAutospacing="0" w:line="360" w:lineRule="auto"/>
              <w:ind w:left="-12"/>
              <w:jc w:val="center"/>
            </w:pPr>
            <w:r w:rsidRPr="00BE5371">
              <w:t>Total</w:t>
            </w:r>
          </w:p>
        </w:tc>
        <w:tc>
          <w:tcPr>
            <w:tcW w:w="692" w:type="dxa"/>
            <w:tcBorders>
              <w:top w:val="single" w:sz="4" w:space="0" w:color="auto"/>
              <w:bottom w:val="single" w:sz="4" w:space="0" w:color="auto"/>
            </w:tcBorders>
          </w:tcPr>
          <w:p w14:paraId="48F9B462" w14:textId="77777777" w:rsidR="009C5111" w:rsidRPr="00BE5371" w:rsidRDefault="009C5111" w:rsidP="001559E4">
            <w:pPr>
              <w:pStyle w:val="NormalWeb"/>
              <w:spacing w:before="0" w:beforeAutospacing="0" w:after="0" w:afterAutospacing="0" w:line="360" w:lineRule="auto"/>
            </w:pPr>
          </w:p>
        </w:tc>
        <w:tc>
          <w:tcPr>
            <w:tcW w:w="1173" w:type="dxa"/>
            <w:tcBorders>
              <w:top w:val="single" w:sz="4" w:space="0" w:color="auto"/>
              <w:bottom w:val="single" w:sz="4" w:space="0" w:color="auto"/>
            </w:tcBorders>
          </w:tcPr>
          <w:p w14:paraId="2E89ECB1" w14:textId="77777777" w:rsidR="009C5111" w:rsidRPr="00BE5371" w:rsidRDefault="009C5111" w:rsidP="001559E4">
            <w:pPr>
              <w:pStyle w:val="NormalWeb"/>
              <w:spacing w:before="0" w:beforeAutospacing="0" w:after="0" w:afterAutospacing="0" w:line="360" w:lineRule="auto"/>
              <w:rPr>
                <w:i/>
                <w:iCs/>
              </w:rPr>
            </w:pPr>
            <w:r w:rsidRPr="00BE5371">
              <w:rPr>
                <w:i/>
                <w:iCs/>
              </w:rPr>
              <w:t>P value</w:t>
            </w:r>
          </w:p>
        </w:tc>
      </w:tr>
      <w:tr w:rsidR="009C5111" w:rsidRPr="00BE5371" w14:paraId="232EB96C" w14:textId="77777777" w:rsidTr="00633A4C">
        <w:trPr>
          <w:trHeight w:val="366"/>
        </w:trPr>
        <w:tc>
          <w:tcPr>
            <w:tcW w:w="1764" w:type="dxa"/>
            <w:vMerge/>
          </w:tcPr>
          <w:p w14:paraId="41FB44B1" w14:textId="77777777" w:rsidR="009C5111" w:rsidRPr="00BE5371" w:rsidRDefault="009C5111" w:rsidP="001559E4">
            <w:pPr>
              <w:pStyle w:val="NormalWeb"/>
              <w:spacing w:before="0" w:beforeAutospacing="0" w:after="0" w:afterAutospacing="0" w:line="360" w:lineRule="auto"/>
            </w:pPr>
          </w:p>
        </w:tc>
        <w:tc>
          <w:tcPr>
            <w:tcW w:w="1374" w:type="dxa"/>
            <w:gridSpan w:val="2"/>
            <w:tcBorders>
              <w:top w:val="single" w:sz="4" w:space="0" w:color="auto"/>
              <w:bottom w:val="single" w:sz="4" w:space="0" w:color="auto"/>
            </w:tcBorders>
            <w:vAlign w:val="center"/>
          </w:tcPr>
          <w:p w14:paraId="5F8704DA" w14:textId="020357E3" w:rsidR="009C5111" w:rsidRPr="00BE5371" w:rsidRDefault="00633A4C" w:rsidP="001559E4">
            <w:pPr>
              <w:pStyle w:val="NormalWeb"/>
              <w:spacing w:before="0" w:beforeAutospacing="0" w:after="0" w:afterAutospacing="0" w:line="360" w:lineRule="auto"/>
              <w:ind w:left="-308"/>
              <w:jc w:val="center"/>
            </w:pPr>
            <w:r w:rsidRPr="00BE5371">
              <w:t>Satisfied</w:t>
            </w:r>
          </w:p>
        </w:tc>
        <w:tc>
          <w:tcPr>
            <w:tcW w:w="1722" w:type="dxa"/>
            <w:gridSpan w:val="2"/>
            <w:tcBorders>
              <w:top w:val="single" w:sz="4" w:space="0" w:color="auto"/>
              <w:bottom w:val="single" w:sz="4" w:space="0" w:color="auto"/>
            </w:tcBorders>
            <w:vAlign w:val="center"/>
          </w:tcPr>
          <w:p w14:paraId="59D21522" w14:textId="246100EB" w:rsidR="009C5111" w:rsidRPr="00BE5371" w:rsidRDefault="00633A4C" w:rsidP="001559E4">
            <w:pPr>
              <w:pStyle w:val="NormalWeb"/>
              <w:spacing w:before="0" w:beforeAutospacing="0" w:after="0" w:afterAutospacing="0" w:line="360" w:lineRule="auto"/>
              <w:ind w:left="-8"/>
              <w:jc w:val="center"/>
            </w:pPr>
            <w:r w:rsidRPr="00BE5371">
              <w:t>Not Satisfied</w:t>
            </w:r>
          </w:p>
        </w:tc>
        <w:tc>
          <w:tcPr>
            <w:tcW w:w="711" w:type="dxa"/>
            <w:tcBorders>
              <w:top w:val="single" w:sz="4" w:space="0" w:color="auto"/>
              <w:bottom w:val="single" w:sz="4" w:space="0" w:color="auto"/>
            </w:tcBorders>
          </w:tcPr>
          <w:p w14:paraId="6B818F71" w14:textId="77777777" w:rsidR="009C5111" w:rsidRPr="00BE5371" w:rsidRDefault="009C5111" w:rsidP="001559E4">
            <w:pPr>
              <w:pStyle w:val="NormalWeb"/>
              <w:spacing w:before="0" w:beforeAutospacing="0" w:after="0" w:afterAutospacing="0" w:line="360" w:lineRule="auto"/>
            </w:pPr>
          </w:p>
        </w:tc>
        <w:tc>
          <w:tcPr>
            <w:tcW w:w="692" w:type="dxa"/>
            <w:tcBorders>
              <w:top w:val="single" w:sz="4" w:space="0" w:color="auto"/>
              <w:bottom w:val="single" w:sz="4" w:space="0" w:color="auto"/>
            </w:tcBorders>
          </w:tcPr>
          <w:p w14:paraId="6468D6F0" w14:textId="77777777" w:rsidR="009C5111" w:rsidRPr="00BE5371" w:rsidRDefault="009C5111" w:rsidP="001559E4">
            <w:pPr>
              <w:pStyle w:val="NormalWeb"/>
              <w:spacing w:before="0" w:beforeAutospacing="0" w:after="0" w:afterAutospacing="0" w:line="360" w:lineRule="auto"/>
            </w:pPr>
          </w:p>
        </w:tc>
        <w:tc>
          <w:tcPr>
            <w:tcW w:w="1173" w:type="dxa"/>
            <w:tcBorders>
              <w:top w:val="single" w:sz="4" w:space="0" w:color="auto"/>
              <w:bottom w:val="single" w:sz="4" w:space="0" w:color="auto"/>
            </w:tcBorders>
          </w:tcPr>
          <w:p w14:paraId="250A9CD1" w14:textId="77777777" w:rsidR="009C5111" w:rsidRPr="00BE5371" w:rsidRDefault="009C5111" w:rsidP="001559E4">
            <w:pPr>
              <w:pStyle w:val="NormalWeb"/>
              <w:spacing w:before="0" w:beforeAutospacing="0" w:after="0" w:afterAutospacing="0" w:line="360" w:lineRule="auto"/>
            </w:pPr>
          </w:p>
        </w:tc>
      </w:tr>
      <w:tr w:rsidR="00633A4C" w:rsidRPr="00BE5371" w14:paraId="3E5991C7" w14:textId="77777777" w:rsidTr="00633A4C">
        <w:trPr>
          <w:trHeight w:val="366"/>
        </w:trPr>
        <w:tc>
          <w:tcPr>
            <w:tcW w:w="1764" w:type="dxa"/>
            <w:vMerge/>
          </w:tcPr>
          <w:p w14:paraId="528C2040" w14:textId="77777777" w:rsidR="009C5111" w:rsidRPr="00BE5371" w:rsidRDefault="009C5111" w:rsidP="001559E4">
            <w:pPr>
              <w:pStyle w:val="NormalWeb"/>
              <w:spacing w:before="0" w:beforeAutospacing="0" w:after="0" w:afterAutospacing="0" w:line="360" w:lineRule="auto"/>
            </w:pPr>
          </w:p>
        </w:tc>
        <w:tc>
          <w:tcPr>
            <w:tcW w:w="654" w:type="dxa"/>
            <w:tcBorders>
              <w:top w:val="single" w:sz="4" w:space="0" w:color="auto"/>
            </w:tcBorders>
          </w:tcPr>
          <w:p w14:paraId="64BE240B" w14:textId="77777777" w:rsidR="009C5111" w:rsidRPr="00BE5371" w:rsidRDefault="009C5111" w:rsidP="001559E4">
            <w:pPr>
              <w:pStyle w:val="NormalWeb"/>
              <w:spacing w:before="0" w:beforeAutospacing="0" w:after="0" w:afterAutospacing="0" w:line="360" w:lineRule="auto"/>
            </w:pPr>
            <w:r w:rsidRPr="00BE5371">
              <w:t>F</w:t>
            </w:r>
          </w:p>
        </w:tc>
        <w:tc>
          <w:tcPr>
            <w:tcW w:w="720" w:type="dxa"/>
            <w:tcBorders>
              <w:top w:val="single" w:sz="4" w:space="0" w:color="auto"/>
            </w:tcBorders>
            <w:vAlign w:val="center"/>
          </w:tcPr>
          <w:p w14:paraId="6D79B04E" w14:textId="77777777" w:rsidR="009C5111" w:rsidRPr="00BE5371" w:rsidRDefault="009C5111" w:rsidP="001559E4">
            <w:pPr>
              <w:pStyle w:val="NormalWeb"/>
              <w:spacing w:before="0" w:beforeAutospacing="0" w:after="0" w:afterAutospacing="0" w:line="360" w:lineRule="auto"/>
            </w:pPr>
            <w:r w:rsidRPr="00BE5371">
              <w:t>%</w:t>
            </w:r>
          </w:p>
        </w:tc>
        <w:tc>
          <w:tcPr>
            <w:tcW w:w="555" w:type="dxa"/>
            <w:tcBorders>
              <w:top w:val="single" w:sz="4" w:space="0" w:color="auto"/>
            </w:tcBorders>
            <w:vAlign w:val="center"/>
          </w:tcPr>
          <w:p w14:paraId="706D9945" w14:textId="77777777" w:rsidR="009C5111" w:rsidRPr="00BE5371" w:rsidRDefault="009C5111" w:rsidP="001559E4">
            <w:pPr>
              <w:pStyle w:val="NormalWeb"/>
              <w:spacing w:before="0" w:beforeAutospacing="0" w:after="0" w:afterAutospacing="0" w:line="360" w:lineRule="auto"/>
            </w:pPr>
            <w:r w:rsidRPr="00BE5371">
              <w:t>F</w:t>
            </w:r>
          </w:p>
        </w:tc>
        <w:tc>
          <w:tcPr>
            <w:tcW w:w="1167" w:type="dxa"/>
            <w:tcBorders>
              <w:top w:val="single" w:sz="4" w:space="0" w:color="auto"/>
            </w:tcBorders>
            <w:vAlign w:val="center"/>
          </w:tcPr>
          <w:p w14:paraId="379DCC80" w14:textId="77777777" w:rsidR="009C5111" w:rsidRPr="00BE5371" w:rsidRDefault="009C5111" w:rsidP="001559E4">
            <w:pPr>
              <w:pStyle w:val="NormalWeb"/>
              <w:spacing w:before="0" w:beforeAutospacing="0" w:after="0" w:afterAutospacing="0" w:line="360" w:lineRule="auto"/>
            </w:pPr>
            <w:r w:rsidRPr="00BE5371">
              <w:t>%</w:t>
            </w:r>
          </w:p>
        </w:tc>
        <w:tc>
          <w:tcPr>
            <w:tcW w:w="711" w:type="dxa"/>
            <w:tcBorders>
              <w:top w:val="single" w:sz="4" w:space="0" w:color="auto"/>
            </w:tcBorders>
            <w:vAlign w:val="center"/>
          </w:tcPr>
          <w:p w14:paraId="3BBB1BA6" w14:textId="77777777" w:rsidR="009C5111" w:rsidRPr="00BE5371" w:rsidRDefault="009C5111" w:rsidP="001559E4">
            <w:pPr>
              <w:pStyle w:val="NormalWeb"/>
              <w:spacing w:before="0" w:beforeAutospacing="0" w:after="0" w:afterAutospacing="0" w:line="360" w:lineRule="auto"/>
            </w:pPr>
            <w:r w:rsidRPr="00BE5371">
              <w:t>F</w:t>
            </w:r>
          </w:p>
        </w:tc>
        <w:tc>
          <w:tcPr>
            <w:tcW w:w="692" w:type="dxa"/>
            <w:tcBorders>
              <w:top w:val="single" w:sz="4" w:space="0" w:color="auto"/>
            </w:tcBorders>
            <w:vAlign w:val="center"/>
          </w:tcPr>
          <w:p w14:paraId="14207E48" w14:textId="77777777" w:rsidR="009C5111" w:rsidRPr="00BE5371" w:rsidRDefault="009C5111" w:rsidP="001559E4">
            <w:pPr>
              <w:pStyle w:val="NormalWeb"/>
              <w:spacing w:before="0" w:beforeAutospacing="0" w:after="0" w:afterAutospacing="0" w:line="360" w:lineRule="auto"/>
            </w:pPr>
            <w:r w:rsidRPr="00BE5371">
              <w:t>%</w:t>
            </w:r>
          </w:p>
        </w:tc>
        <w:tc>
          <w:tcPr>
            <w:tcW w:w="1173" w:type="dxa"/>
            <w:vMerge w:val="restart"/>
            <w:tcBorders>
              <w:top w:val="single" w:sz="4" w:space="0" w:color="auto"/>
            </w:tcBorders>
            <w:vAlign w:val="center"/>
          </w:tcPr>
          <w:p w14:paraId="3D9954DE" w14:textId="77777777" w:rsidR="009C5111" w:rsidRPr="00BE5371" w:rsidRDefault="009C5111" w:rsidP="001559E4">
            <w:pPr>
              <w:pStyle w:val="NormalWeb"/>
              <w:spacing w:before="0" w:beforeAutospacing="0" w:after="0" w:afterAutospacing="0" w:line="360" w:lineRule="auto"/>
              <w:jc w:val="center"/>
            </w:pPr>
            <w:r w:rsidRPr="00BE5371">
              <w:t>0,000</w:t>
            </w:r>
          </w:p>
        </w:tc>
      </w:tr>
      <w:tr w:rsidR="00633A4C" w:rsidRPr="00BE5371" w14:paraId="4A04C5B2" w14:textId="77777777" w:rsidTr="00633A4C">
        <w:trPr>
          <w:trHeight w:val="366"/>
        </w:trPr>
        <w:tc>
          <w:tcPr>
            <w:tcW w:w="1764" w:type="dxa"/>
          </w:tcPr>
          <w:p w14:paraId="0D3A63ED" w14:textId="0F8D985E" w:rsidR="009C5111" w:rsidRPr="00BE5371" w:rsidRDefault="00633A4C" w:rsidP="001559E4">
            <w:pPr>
              <w:pStyle w:val="NormalWeb"/>
              <w:spacing w:before="0" w:beforeAutospacing="0" w:after="0" w:afterAutospacing="0" w:line="360" w:lineRule="auto"/>
            </w:pPr>
            <w:r w:rsidRPr="00BE5371">
              <w:lastRenderedPageBreak/>
              <w:t>Good</w:t>
            </w:r>
          </w:p>
        </w:tc>
        <w:tc>
          <w:tcPr>
            <w:tcW w:w="654" w:type="dxa"/>
          </w:tcPr>
          <w:p w14:paraId="14182C67" w14:textId="19AECA13" w:rsidR="009C5111" w:rsidRPr="00BE5371" w:rsidRDefault="009C5111" w:rsidP="001559E4">
            <w:pPr>
              <w:pStyle w:val="NormalWeb"/>
              <w:spacing w:before="0" w:beforeAutospacing="0" w:after="0" w:afterAutospacing="0" w:line="360" w:lineRule="auto"/>
            </w:pPr>
            <w:r w:rsidRPr="00BE5371">
              <w:t>46</w:t>
            </w:r>
          </w:p>
        </w:tc>
        <w:tc>
          <w:tcPr>
            <w:tcW w:w="720" w:type="dxa"/>
          </w:tcPr>
          <w:p w14:paraId="7E6C32D2" w14:textId="2A7D4A30" w:rsidR="009C5111" w:rsidRPr="00BE5371" w:rsidRDefault="009C5111" w:rsidP="001559E4">
            <w:pPr>
              <w:pStyle w:val="NormalWeb"/>
              <w:spacing w:before="0" w:beforeAutospacing="0" w:after="0" w:afterAutospacing="0" w:line="360" w:lineRule="auto"/>
            </w:pPr>
            <w:r w:rsidRPr="00BE5371">
              <w:t>46</w:t>
            </w:r>
          </w:p>
        </w:tc>
        <w:tc>
          <w:tcPr>
            <w:tcW w:w="555" w:type="dxa"/>
          </w:tcPr>
          <w:p w14:paraId="17E6A677" w14:textId="7992F609" w:rsidR="009C5111" w:rsidRPr="00BE5371" w:rsidRDefault="009C5111" w:rsidP="001559E4">
            <w:pPr>
              <w:pStyle w:val="NormalWeb"/>
              <w:spacing w:before="0" w:beforeAutospacing="0" w:after="0" w:afterAutospacing="0" w:line="360" w:lineRule="auto"/>
            </w:pPr>
            <w:r w:rsidRPr="00BE5371">
              <w:t>11</w:t>
            </w:r>
          </w:p>
        </w:tc>
        <w:tc>
          <w:tcPr>
            <w:tcW w:w="1167" w:type="dxa"/>
          </w:tcPr>
          <w:p w14:paraId="068CE698" w14:textId="0DBD7805" w:rsidR="009C5111" w:rsidRPr="00BE5371" w:rsidRDefault="009C5111" w:rsidP="001559E4">
            <w:pPr>
              <w:pStyle w:val="NormalWeb"/>
              <w:spacing w:before="0" w:beforeAutospacing="0" w:after="0" w:afterAutospacing="0" w:line="360" w:lineRule="auto"/>
            </w:pPr>
            <w:r w:rsidRPr="00BE5371">
              <w:t>11</w:t>
            </w:r>
          </w:p>
        </w:tc>
        <w:tc>
          <w:tcPr>
            <w:tcW w:w="711" w:type="dxa"/>
          </w:tcPr>
          <w:p w14:paraId="66771402" w14:textId="20DB3442" w:rsidR="009C5111" w:rsidRPr="00BE5371" w:rsidRDefault="009C5111" w:rsidP="001559E4">
            <w:pPr>
              <w:pStyle w:val="NormalWeb"/>
              <w:spacing w:before="0" w:beforeAutospacing="0" w:after="0" w:afterAutospacing="0" w:line="360" w:lineRule="auto"/>
            </w:pPr>
            <w:r w:rsidRPr="00BE5371">
              <w:t>57</w:t>
            </w:r>
          </w:p>
        </w:tc>
        <w:tc>
          <w:tcPr>
            <w:tcW w:w="692" w:type="dxa"/>
          </w:tcPr>
          <w:p w14:paraId="014772D0" w14:textId="3BAFB221" w:rsidR="009C5111" w:rsidRPr="00BE5371" w:rsidRDefault="009C5111" w:rsidP="001559E4">
            <w:pPr>
              <w:pStyle w:val="NormalWeb"/>
              <w:spacing w:before="0" w:beforeAutospacing="0" w:after="0" w:afterAutospacing="0" w:line="360" w:lineRule="auto"/>
            </w:pPr>
            <w:r w:rsidRPr="00BE5371">
              <w:t>57</w:t>
            </w:r>
          </w:p>
        </w:tc>
        <w:tc>
          <w:tcPr>
            <w:tcW w:w="1173" w:type="dxa"/>
            <w:vMerge/>
          </w:tcPr>
          <w:p w14:paraId="2D0C4020" w14:textId="77777777" w:rsidR="009C5111" w:rsidRPr="00BE5371" w:rsidRDefault="009C5111" w:rsidP="001559E4">
            <w:pPr>
              <w:pStyle w:val="NormalWeb"/>
              <w:spacing w:before="0" w:beforeAutospacing="0" w:after="0" w:afterAutospacing="0" w:line="360" w:lineRule="auto"/>
            </w:pPr>
          </w:p>
        </w:tc>
      </w:tr>
      <w:tr w:rsidR="00633A4C" w:rsidRPr="00BE5371" w14:paraId="2CD33FC6" w14:textId="77777777" w:rsidTr="00633A4C">
        <w:trPr>
          <w:trHeight w:val="366"/>
        </w:trPr>
        <w:tc>
          <w:tcPr>
            <w:tcW w:w="1764" w:type="dxa"/>
          </w:tcPr>
          <w:p w14:paraId="34211A3D" w14:textId="697BA013" w:rsidR="009C5111" w:rsidRPr="00BE5371" w:rsidRDefault="00633A4C" w:rsidP="001559E4">
            <w:pPr>
              <w:pStyle w:val="NormalWeb"/>
              <w:spacing w:before="0" w:beforeAutospacing="0" w:after="0" w:afterAutospacing="0" w:line="360" w:lineRule="auto"/>
            </w:pPr>
            <w:r w:rsidRPr="00BE5371">
              <w:t>Enough</w:t>
            </w:r>
          </w:p>
        </w:tc>
        <w:tc>
          <w:tcPr>
            <w:tcW w:w="654" w:type="dxa"/>
          </w:tcPr>
          <w:p w14:paraId="74F86CC6" w14:textId="4061D5D9" w:rsidR="009C5111" w:rsidRPr="00BE5371" w:rsidRDefault="009C5111" w:rsidP="001559E4">
            <w:pPr>
              <w:pStyle w:val="NormalWeb"/>
              <w:spacing w:before="0" w:beforeAutospacing="0" w:after="0" w:afterAutospacing="0" w:line="360" w:lineRule="auto"/>
            </w:pPr>
            <w:r w:rsidRPr="00BE5371">
              <w:t>17</w:t>
            </w:r>
          </w:p>
        </w:tc>
        <w:tc>
          <w:tcPr>
            <w:tcW w:w="720" w:type="dxa"/>
          </w:tcPr>
          <w:p w14:paraId="7971E73B" w14:textId="67E383F3" w:rsidR="009C5111" w:rsidRPr="00BE5371" w:rsidRDefault="009C5111" w:rsidP="001559E4">
            <w:pPr>
              <w:pStyle w:val="NormalWeb"/>
              <w:spacing w:before="0" w:beforeAutospacing="0" w:after="0" w:afterAutospacing="0" w:line="360" w:lineRule="auto"/>
            </w:pPr>
            <w:r w:rsidRPr="00BE5371">
              <w:t>17</w:t>
            </w:r>
          </w:p>
        </w:tc>
        <w:tc>
          <w:tcPr>
            <w:tcW w:w="555" w:type="dxa"/>
          </w:tcPr>
          <w:p w14:paraId="21C0B3A7" w14:textId="14170C2D" w:rsidR="009C5111" w:rsidRPr="00BE5371" w:rsidRDefault="009C5111" w:rsidP="001559E4">
            <w:pPr>
              <w:pStyle w:val="NormalWeb"/>
              <w:spacing w:before="0" w:beforeAutospacing="0" w:after="0" w:afterAutospacing="0" w:line="360" w:lineRule="auto"/>
            </w:pPr>
            <w:r w:rsidRPr="00BE5371">
              <w:t>26</w:t>
            </w:r>
          </w:p>
        </w:tc>
        <w:tc>
          <w:tcPr>
            <w:tcW w:w="1167" w:type="dxa"/>
          </w:tcPr>
          <w:p w14:paraId="78B8D2D3" w14:textId="113EF19B" w:rsidR="009C5111" w:rsidRPr="00BE5371" w:rsidRDefault="009C5111" w:rsidP="001559E4">
            <w:pPr>
              <w:pStyle w:val="NormalWeb"/>
              <w:spacing w:before="0" w:beforeAutospacing="0" w:after="0" w:afterAutospacing="0" w:line="360" w:lineRule="auto"/>
            </w:pPr>
            <w:r w:rsidRPr="00BE5371">
              <w:t>26</w:t>
            </w:r>
          </w:p>
        </w:tc>
        <w:tc>
          <w:tcPr>
            <w:tcW w:w="711" w:type="dxa"/>
          </w:tcPr>
          <w:p w14:paraId="657CDB97" w14:textId="1CF50BBF" w:rsidR="009C5111" w:rsidRPr="00BE5371" w:rsidRDefault="009C5111" w:rsidP="001559E4">
            <w:pPr>
              <w:pStyle w:val="NormalWeb"/>
              <w:spacing w:before="0" w:beforeAutospacing="0" w:after="0" w:afterAutospacing="0" w:line="360" w:lineRule="auto"/>
            </w:pPr>
            <w:r w:rsidRPr="00BE5371">
              <w:t>43</w:t>
            </w:r>
          </w:p>
        </w:tc>
        <w:tc>
          <w:tcPr>
            <w:tcW w:w="692" w:type="dxa"/>
          </w:tcPr>
          <w:p w14:paraId="02012246" w14:textId="78CCBB54" w:rsidR="009C5111" w:rsidRPr="00BE5371" w:rsidRDefault="009C5111" w:rsidP="001559E4">
            <w:pPr>
              <w:pStyle w:val="NormalWeb"/>
              <w:spacing w:before="0" w:beforeAutospacing="0" w:after="0" w:afterAutospacing="0" w:line="360" w:lineRule="auto"/>
            </w:pPr>
            <w:r w:rsidRPr="00BE5371">
              <w:t>43</w:t>
            </w:r>
          </w:p>
        </w:tc>
        <w:tc>
          <w:tcPr>
            <w:tcW w:w="1173" w:type="dxa"/>
            <w:vMerge/>
          </w:tcPr>
          <w:p w14:paraId="008C98EC" w14:textId="77777777" w:rsidR="009C5111" w:rsidRPr="00BE5371" w:rsidRDefault="009C5111" w:rsidP="001559E4">
            <w:pPr>
              <w:pStyle w:val="NormalWeb"/>
              <w:spacing w:before="0" w:beforeAutospacing="0" w:after="0" w:afterAutospacing="0" w:line="360" w:lineRule="auto"/>
            </w:pPr>
          </w:p>
        </w:tc>
      </w:tr>
      <w:tr w:rsidR="00633A4C" w:rsidRPr="00BE5371" w14:paraId="1DD785AC" w14:textId="77777777" w:rsidTr="00633A4C">
        <w:trPr>
          <w:trHeight w:val="366"/>
        </w:trPr>
        <w:tc>
          <w:tcPr>
            <w:tcW w:w="1764" w:type="dxa"/>
          </w:tcPr>
          <w:p w14:paraId="3F425595" w14:textId="77777777" w:rsidR="009C5111" w:rsidRPr="00BE5371" w:rsidRDefault="009C5111" w:rsidP="001559E4">
            <w:pPr>
              <w:pStyle w:val="NormalWeb"/>
              <w:spacing w:before="0" w:beforeAutospacing="0" w:after="0" w:afterAutospacing="0" w:line="360" w:lineRule="auto"/>
            </w:pPr>
            <w:r w:rsidRPr="00BE5371">
              <w:t>Total</w:t>
            </w:r>
          </w:p>
        </w:tc>
        <w:tc>
          <w:tcPr>
            <w:tcW w:w="654" w:type="dxa"/>
          </w:tcPr>
          <w:p w14:paraId="6EDA06D6" w14:textId="3BFEEC68" w:rsidR="009C5111" w:rsidRPr="00BE5371" w:rsidRDefault="009C5111" w:rsidP="001559E4">
            <w:pPr>
              <w:pStyle w:val="NormalWeb"/>
              <w:spacing w:before="0" w:beforeAutospacing="0" w:after="0" w:afterAutospacing="0" w:line="360" w:lineRule="auto"/>
            </w:pPr>
            <w:r w:rsidRPr="00BE5371">
              <w:t>63</w:t>
            </w:r>
          </w:p>
        </w:tc>
        <w:tc>
          <w:tcPr>
            <w:tcW w:w="720" w:type="dxa"/>
          </w:tcPr>
          <w:p w14:paraId="3D452FD6" w14:textId="1421CC2A" w:rsidR="009C5111" w:rsidRPr="00BE5371" w:rsidRDefault="009C5111" w:rsidP="001559E4">
            <w:pPr>
              <w:pStyle w:val="NormalWeb"/>
              <w:spacing w:before="0" w:beforeAutospacing="0" w:after="0" w:afterAutospacing="0" w:line="360" w:lineRule="auto"/>
            </w:pPr>
            <w:r w:rsidRPr="00BE5371">
              <w:t>63</w:t>
            </w:r>
          </w:p>
        </w:tc>
        <w:tc>
          <w:tcPr>
            <w:tcW w:w="555" w:type="dxa"/>
          </w:tcPr>
          <w:p w14:paraId="2248F465" w14:textId="14525489" w:rsidR="009C5111" w:rsidRPr="00BE5371" w:rsidRDefault="009C5111" w:rsidP="001559E4">
            <w:pPr>
              <w:pStyle w:val="NormalWeb"/>
              <w:spacing w:before="0" w:beforeAutospacing="0" w:after="0" w:afterAutospacing="0" w:line="360" w:lineRule="auto"/>
            </w:pPr>
            <w:r w:rsidRPr="00BE5371">
              <w:t>37</w:t>
            </w:r>
          </w:p>
        </w:tc>
        <w:tc>
          <w:tcPr>
            <w:tcW w:w="1167" w:type="dxa"/>
          </w:tcPr>
          <w:p w14:paraId="63D47D63" w14:textId="4C7BD21A" w:rsidR="009C5111" w:rsidRPr="00BE5371" w:rsidRDefault="009C5111" w:rsidP="001559E4">
            <w:pPr>
              <w:pStyle w:val="NormalWeb"/>
              <w:spacing w:before="0" w:beforeAutospacing="0" w:after="0" w:afterAutospacing="0" w:line="360" w:lineRule="auto"/>
            </w:pPr>
            <w:r w:rsidRPr="00BE5371">
              <w:t>37</w:t>
            </w:r>
          </w:p>
        </w:tc>
        <w:tc>
          <w:tcPr>
            <w:tcW w:w="711" w:type="dxa"/>
          </w:tcPr>
          <w:p w14:paraId="69DB2FBB" w14:textId="63204B31" w:rsidR="009C5111" w:rsidRPr="00BE5371" w:rsidRDefault="009C5111" w:rsidP="001559E4">
            <w:pPr>
              <w:pStyle w:val="NormalWeb"/>
              <w:spacing w:before="0" w:beforeAutospacing="0" w:after="0" w:afterAutospacing="0" w:line="360" w:lineRule="auto"/>
            </w:pPr>
            <w:r w:rsidRPr="00BE5371">
              <w:t>100</w:t>
            </w:r>
          </w:p>
        </w:tc>
        <w:tc>
          <w:tcPr>
            <w:tcW w:w="692" w:type="dxa"/>
          </w:tcPr>
          <w:p w14:paraId="18C300F0" w14:textId="77777777" w:rsidR="009C5111" w:rsidRPr="00BE5371" w:rsidRDefault="009C5111" w:rsidP="001559E4">
            <w:pPr>
              <w:pStyle w:val="NormalWeb"/>
              <w:spacing w:before="0" w:beforeAutospacing="0" w:after="0" w:afterAutospacing="0" w:line="360" w:lineRule="auto"/>
            </w:pPr>
            <w:r w:rsidRPr="00BE5371">
              <w:t>100</w:t>
            </w:r>
          </w:p>
        </w:tc>
        <w:tc>
          <w:tcPr>
            <w:tcW w:w="1173" w:type="dxa"/>
            <w:vMerge/>
          </w:tcPr>
          <w:p w14:paraId="0C07AF2A" w14:textId="77777777" w:rsidR="009C5111" w:rsidRPr="00BE5371" w:rsidRDefault="009C5111" w:rsidP="001559E4">
            <w:pPr>
              <w:pStyle w:val="NormalWeb"/>
              <w:spacing w:before="0" w:beforeAutospacing="0" w:after="0" w:afterAutospacing="0" w:line="360" w:lineRule="auto"/>
            </w:pPr>
          </w:p>
        </w:tc>
      </w:tr>
    </w:tbl>
    <w:p w14:paraId="521012E2" w14:textId="77777777" w:rsidR="00B874A5" w:rsidRPr="00BE5371" w:rsidRDefault="00B874A5" w:rsidP="001559E4">
      <w:pPr>
        <w:spacing w:after="0" w:line="360" w:lineRule="auto"/>
        <w:ind w:firstLine="425"/>
        <w:jc w:val="both"/>
        <w:rPr>
          <w:rFonts w:ascii="Times New Roman" w:hAnsi="Times New Roman"/>
          <w:sz w:val="20"/>
          <w:szCs w:val="20"/>
          <w:lang w:eastAsia="id-ID"/>
        </w:rPr>
      </w:pPr>
      <w:r w:rsidRPr="00BE5371">
        <w:rPr>
          <w:rFonts w:ascii="Times New Roman" w:hAnsi="Times New Roman"/>
          <w:sz w:val="20"/>
          <w:szCs w:val="20"/>
          <w:lang w:eastAsia="id-ID"/>
        </w:rPr>
        <w:t>Sumber : Data Primer 2025</w:t>
      </w:r>
    </w:p>
    <w:p w14:paraId="302B83C9" w14:textId="77777777" w:rsidR="00CC696F" w:rsidRPr="00BE5371" w:rsidRDefault="00CC696F" w:rsidP="001559E4">
      <w:pPr>
        <w:spacing w:after="0" w:line="360" w:lineRule="auto"/>
        <w:ind w:firstLine="425"/>
        <w:jc w:val="both"/>
        <w:rPr>
          <w:rFonts w:ascii="Times New Roman" w:hAnsi="Times New Roman"/>
          <w:sz w:val="24"/>
          <w:szCs w:val="24"/>
          <w:lang w:eastAsia="id-ID"/>
        </w:rPr>
      </w:pPr>
    </w:p>
    <w:p w14:paraId="6BC5268A" w14:textId="1CFAA42E" w:rsidR="00AD68EB" w:rsidRPr="00BE5371" w:rsidRDefault="00AD68EB" w:rsidP="001559E4">
      <w:pPr>
        <w:spacing w:after="0" w:line="360" w:lineRule="auto"/>
        <w:ind w:firstLine="425"/>
        <w:jc w:val="both"/>
        <w:rPr>
          <w:rFonts w:ascii="Times New Roman" w:hAnsi="Times New Roman"/>
          <w:sz w:val="24"/>
          <w:szCs w:val="24"/>
        </w:rPr>
      </w:pPr>
      <w:r w:rsidRPr="00BE5371">
        <w:rPr>
          <w:rFonts w:ascii="Times New Roman" w:hAnsi="Times New Roman"/>
          <w:sz w:val="24"/>
          <w:szCs w:val="24"/>
        </w:rPr>
        <w:t>As illustrated in Table 2, the evaluation of therapeutic communication revealed that the majority of nurses (57%) performed effectively, falling into the 'Good' category. The remaining 43% of respondents perceived the communication as 'Adequate'. These findings suggest that while more than half of the nursing staff demonstrated proficient therapeutic interaction skills, there is still a substantial opportunity for improvement to elevate those in the adequate category to a higher standard of service quality.</w:t>
      </w:r>
    </w:p>
    <w:p w14:paraId="54A73968" w14:textId="0A55F937" w:rsidR="00051526" w:rsidRPr="00BE5371" w:rsidRDefault="00051526" w:rsidP="001559E4">
      <w:pPr>
        <w:spacing w:after="0" w:line="360" w:lineRule="auto"/>
        <w:ind w:firstLine="425"/>
        <w:jc w:val="both"/>
        <w:rPr>
          <w:rFonts w:ascii="Times New Roman" w:hAnsi="Times New Roman"/>
          <w:sz w:val="24"/>
          <w:szCs w:val="24"/>
        </w:rPr>
      </w:pPr>
      <w:r w:rsidRPr="00BE5371">
        <w:rPr>
          <w:rFonts w:ascii="Times New Roman" w:eastAsia="Times New Roman" w:hAnsi="Times New Roman"/>
          <w:sz w:val="24"/>
          <w:szCs w:val="24"/>
          <w:lang w:val="en-US"/>
        </w:rPr>
        <w:t>These results are concordant with findings showing that 74.5% of participants perceived nurses' therapeutic communication as proficient</w:t>
      </w:r>
      <w:r w:rsidR="00375EF0" w:rsidRPr="00BE5371">
        <w:rPr>
          <w:rFonts w:ascii="Times New Roman" w:eastAsia="Times New Roman" w:hAnsi="Times New Roman"/>
          <w:sz w:val="24"/>
          <w:szCs w:val="24"/>
          <w:lang w:val="en-US"/>
        </w:rPr>
        <w:t xml:space="preserve"> </w:t>
      </w:r>
      <w:r w:rsidR="00375EF0" w:rsidRPr="00BE5371">
        <w:rPr>
          <w:rFonts w:ascii="Times New Roman" w:eastAsia="Times New Roman" w:hAnsi="Times New Roman"/>
          <w:sz w:val="24"/>
          <w:szCs w:val="24"/>
          <w:lang w:val="en-US"/>
        </w:rPr>
        <w:fldChar w:fldCharType="begin" w:fldLock="1"/>
      </w:r>
      <w:r w:rsidR="00CE56BB">
        <w:rPr>
          <w:rFonts w:ascii="Times New Roman" w:eastAsia="Times New Roman" w:hAnsi="Times New Roman"/>
          <w:sz w:val="24"/>
          <w:szCs w:val="24"/>
          <w:lang w:val="en-US"/>
        </w:rPr>
        <w:instrText>ADDIN CSL_CITATION {"citationItems":[{"id":"ITEM-1","itemData":{"author":[{"dropping-particle":"","family":"Rahmatullah","given":"Tiara","non-dropping-particle":"","parse-names":false,"suffix":""}],"id":"ITEM-1","issued":{"date-parts":[["2025"]]},"publisher":"UNIVERSITAS dr. SOEBANDI","title":"Hubungan Komunikasi Terapeutik Perawat dengan Mutu Pleyanan Keperawatan di Ruang Rawat Inap Kelas I RS Bhayangkara Bondowoso","type":"thesis"},"uris":["http://www.mendeley.com/documents/?uuid=24e2e24c-0a82-431a-925a-508ac6be5d50"]}],"mendeley":{"formattedCitation":"[12]","plainTextFormattedCitation":"[12]","previouslyFormattedCitation":"[12]"},"properties":{"noteIndex":0},"schema":"https://github.com/citation-style-language/schema/raw/master/csl-citation.json"}</w:instrText>
      </w:r>
      <w:r w:rsidR="00375EF0" w:rsidRPr="00BE5371">
        <w:rPr>
          <w:rFonts w:ascii="Times New Roman" w:eastAsia="Times New Roman" w:hAnsi="Times New Roman"/>
          <w:sz w:val="24"/>
          <w:szCs w:val="24"/>
          <w:lang w:val="en-US"/>
        </w:rPr>
        <w:fldChar w:fldCharType="separate"/>
      </w:r>
      <w:r w:rsidR="00AF5B51" w:rsidRPr="00AF5B51">
        <w:rPr>
          <w:rFonts w:ascii="Times New Roman" w:eastAsia="Times New Roman" w:hAnsi="Times New Roman"/>
          <w:noProof/>
          <w:sz w:val="24"/>
          <w:szCs w:val="24"/>
          <w:lang w:val="en-US"/>
        </w:rPr>
        <w:t>[12]</w:t>
      </w:r>
      <w:r w:rsidR="00375EF0" w:rsidRPr="00BE5371">
        <w:rPr>
          <w:rFonts w:ascii="Times New Roman" w:eastAsia="Times New Roman" w:hAnsi="Times New Roman"/>
          <w:sz w:val="24"/>
          <w:szCs w:val="24"/>
          <w:lang w:val="en-US"/>
        </w:rPr>
        <w:fldChar w:fldCharType="end"/>
      </w:r>
      <w:r w:rsidR="00375EF0" w:rsidRPr="00BE5371">
        <w:rPr>
          <w:rFonts w:ascii="Times New Roman" w:eastAsia="Times New Roman" w:hAnsi="Times New Roman"/>
          <w:sz w:val="24"/>
          <w:szCs w:val="24"/>
          <w:lang w:val="en-US"/>
        </w:rPr>
        <w:t xml:space="preserve">. </w:t>
      </w:r>
      <w:r w:rsidRPr="00BE5371">
        <w:rPr>
          <w:rFonts w:ascii="Times New Roman" w:eastAsia="Times New Roman" w:hAnsi="Times New Roman"/>
          <w:sz w:val="24"/>
          <w:szCs w:val="24"/>
          <w:lang w:val="en-US"/>
        </w:rPr>
        <w:t>Similarly, another study mirrored this trend, reporting that 72.0% ($n=36$) of respondents rated the communication as good, while 16.0% and 12.0% rated it as adequate and poor</w:t>
      </w:r>
      <w:r w:rsidR="00375EF0" w:rsidRPr="00BE5371">
        <w:rPr>
          <w:rFonts w:ascii="Times New Roman" w:eastAsia="Times New Roman" w:hAnsi="Times New Roman"/>
          <w:sz w:val="24"/>
          <w:szCs w:val="24"/>
          <w:lang w:val="en-US"/>
        </w:rPr>
        <w:t>.</w:t>
      </w:r>
      <w:r w:rsidRPr="00BE5371">
        <w:rPr>
          <w:rFonts w:ascii="Times New Roman" w:eastAsia="Times New Roman" w:hAnsi="Times New Roman"/>
          <w:sz w:val="24"/>
          <w:szCs w:val="24"/>
          <w:lang w:val="en-US"/>
        </w:rPr>
        <w:t xml:space="preserve"> The alignment between the current study and previous literature underscores a prevailing trend in healthcare settings where therapeutic communication is increasingly recognized as a core element of nursing excellence, despite minor variations in satisfaction levels across different clinical contexts</w:t>
      </w:r>
      <w:r w:rsidR="00E3184D" w:rsidRPr="00BE5371">
        <w:rPr>
          <w:rFonts w:ascii="Times New Roman" w:eastAsia="Times New Roman" w:hAnsi="Times New Roman"/>
          <w:sz w:val="24"/>
          <w:szCs w:val="24"/>
          <w:lang w:val="en-US"/>
        </w:rPr>
        <w:t xml:space="preserve"> </w:t>
      </w:r>
      <w:r w:rsidR="00E3184D" w:rsidRPr="00BE5371">
        <w:rPr>
          <w:rFonts w:ascii="Times New Roman" w:eastAsia="Times New Roman" w:hAnsi="Times New Roman"/>
          <w:sz w:val="24"/>
          <w:szCs w:val="24"/>
          <w:lang w:val="en-US"/>
        </w:rPr>
        <w:fldChar w:fldCharType="begin" w:fldLock="1"/>
      </w:r>
      <w:r w:rsidR="00CE56BB">
        <w:rPr>
          <w:rFonts w:ascii="Times New Roman" w:eastAsia="Times New Roman" w:hAnsi="Times New Roman"/>
          <w:sz w:val="24"/>
          <w:szCs w:val="24"/>
          <w:lang w:val="en-US"/>
        </w:rPr>
        <w:instrText>ADDIN CSL_CITATION {"citationItems":[{"id":"ITEM-1","itemData":{"author":[{"dropping-particle":"","family":"Kurniasari","given":"Dyan","non-dropping-particle":"","parse-names":false,"suffix":""},{"dropping-particle":"","family":"Rumondang","given":"Patricia Rani","non-dropping-particle":"","parse-names":false,"suffix":""},{"dropping-particle":"","family":"Steffi","given":"Monika","non-dropping-particle":"","parse-names":false,"suffix":""},{"dropping-particle":"","family":"Sabatini","given":"Novia","non-dropping-particle":"","parse-names":false,"suffix":""},{"dropping-particle":"","family":"Sakit","given":"Rumah","non-dropping-particle":"","parse-names":false,"suffix":""},{"dropping-particle":"","family":"Solo","given":"Indriati","non-dropping-particle":"","parse-names":false,"suffix":""}],"container-title":"JURNAL SURYA MUDA","id":"ITEM-1","issue":"1","issued":{"date-parts":[["2024"]]},"title":"RUMAH SAKIT INDRIATI SOLO BARU THE IMPACT OF THERAPEUTIC COMMUNICATIONS ON THE END OF SERVICE IN THE HEMODIALYSIS ROOM OF THE NEW SINGLE-MINDED HOSPITAL","type":"article-journal","volume":"6"},"uris":["http://www.mendeley.com/documents/?uuid=cc5bbc0f-4f50-46c7-850c-19c259b793e0"]}],"mendeley":{"formattedCitation":"[13]","plainTextFormattedCitation":"[13]","previouslyFormattedCitation":"[13]"},"properties":{"noteIndex":0},"schema":"https://github.com/citation-style-language/schema/raw/master/csl-citation.json"}</w:instrText>
      </w:r>
      <w:r w:rsidR="00E3184D" w:rsidRPr="00BE5371">
        <w:rPr>
          <w:rFonts w:ascii="Times New Roman" w:eastAsia="Times New Roman" w:hAnsi="Times New Roman"/>
          <w:sz w:val="24"/>
          <w:szCs w:val="24"/>
          <w:lang w:val="en-US"/>
        </w:rPr>
        <w:fldChar w:fldCharType="separate"/>
      </w:r>
      <w:r w:rsidR="00AF5B51" w:rsidRPr="00AF5B51">
        <w:rPr>
          <w:rFonts w:ascii="Times New Roman" w:eastAsia="Times New Roman" w:hAnsi="Times New Roman"/>
          <w:noProof/>
          <w:sz w:val="24"/>
          <w:szCs w:val="24"/>
          <w:lang w:val="en-US"/>
        </w:rPr>
        <w:t>[13]</w:t>
      </w:r>
      <w:r w:rsidR="00E3184D" w:rsidRPr="00BE5371">
        <w:rPr>
          <w:rFonts w:ascii="Times New Roman" w:eastAsia="Times New Roman" w:hAnsi="Times New Roman"/>
          <w:sz w:val="24"/>
          <w:szCs w:val="24"/>
          <w:lang w:val="en-US"/>
        </w:rPr>
        <w:fldChar w:fldCharType="end"/>
      </w:r>
      <w:r w:rsidR="00E3184D" w:rsidRPr="00BE5371">
        <w:rPr>
          <w:rFonts w:ascii="Times New Roman" w:eastAsia="Times New Roman" w:hAnsi="Times New Roman"/>
          <w:sz w:val="24"/>
          <w:szCs w:val="24"/>
          <w:lang w:val="en-US"/>
        </w:rPr>
        <w:t xml:space="preserve">. </w:t>
      </w:r>
    </w:p>
    <w:p w14:paraId="042146C2" w14:textId="45DA4B7C" w:rsidR="00633A4C" w:rsidRPr="00BE5371" w:rsidRDefault="0042662F" w:rsidP="001559E4">
      <w:pPr>
        <w:spacing w:after="0" w:line="360" w:lineRule="auto"/>
        <w:ind w:firstLine="425"/>
        <w:jc w:val="both"/>
        <w:rPr>
          <w:rFonts w:ascii="Times New Roman" w:hAnsi="Times New Roman"/>
          <w:sz w:val="24"/>
          <w:szCs w:val="24"/>
        </w:rPr>
      </w:pPr>
      <w:r w:rsidRPr="00BE5371">
        <w:rPr>
          <w:rFonts w:ascii="Times New Roman" w:hAnsi="Times New Roman"/>
          <w:sz w:val="24"/>
          <w:szCs w:val="24"/>
        </w:rPr>
        <w:t>Hospitals, as primary healthcare providers, necessitate a multifaceted approach to service excellence, where effective communication plays a role as critical as advanced facilities and clinical quality</w:t>
      </w:r>
      <w:r w:rsidR="00DF264E" w:rsidRPr="00BE5371">
        <w:rPr>
          <w:rFonts w:ascii="Times New Roman" w:hAnsi="Times New Roman"/>
          <w:sz w:val="24"/>
          <w:szCs w:val="24"/>
        </w:rPr>
        <w:t xml:space="preserve"> </w:t>
      </w:r>
      <w:r w:rsidR="00DF264E" w:rsidRPr="00BE537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{"citationItems":[{"id":"ITEM-1","itemData":{"author":[{"dropping-particle":"","family":"Agil","given":"Hilda Meriyandah","non-dropping-particle":"","parse-names":false,"suffix":""},{"dropping-particle":"","family":"Rohman","given":"Taupik","non-dropping-particle":"","parse-names":false,"suffix":""},{"dropping-particle":"","family":"Santosa","given":"Raharja","non-dropping-particle":"","parse-names":false,"suffix":""}],"container-title":"Jurnal Bidang Ilmu Kesehatan","id":"ITEM-1","issue":"1","issued":{"date-parts":[["2022"]]},"page":"83-93","title":"Hubungan Komunikasi Terapeutik Perawat dengan Tingkat Kepuasan Pasien Rawat Inap di Ruang Bung Karno RSU Proklamasi Rengasdengklok","type":"article-journal","volume":"12"},"uris":["http://www.mendeley.com/documents/?uuid=ce464864-512d-4b79-968f-fe0ddf87aeb8"]}],"mendeley":{"formattedCitation":"[14]","plainTextFormattedCitation":"[14]","previouslyFormattedCitation":"[14]"},"properties":{"noteIndex":0},"schema":"https://github.com/citation-style-language/schema/raw/master/csl-citation.json"}</w:instrText>
      </w:r>
      <w:r w:rsidR="00DF264E" w:rsidRPr="00BE5371">
        <w:rPr>
          <w:rFonts w:ascii="Times New Roman" w:hAnsi="Times New Roman"/>
          <w:sz w:val="24"/>
          <w:szCs w:val="24"/>
        </w:rPr>
        <w:fldChar w:fldCharType="separate"/>
      </w:r>
      <w:r w:rsidR="00AF5B51" w:rsidRPr="00AF5B51">
        <w:rPr>
          <w:rFonts w:ascii="Times New Roman" w:hAnsi="Times New Roman"/>
          <w:noProof/>
          <w:sz w:val="24"/>
          <w:szCs w:val="24"/>
        </w:rPr>
        <w:t>[14]</w:t>
      </w:r>
      <w:r w:rsidR="00DF264E" w:rsidRPr="00BE5371">
        <w:rPr>
          <w:rFonts w:ascii="Times New Roman" w:hAnsi="Times New Roman"/>
          <w:sz w:val="24"/>
          <w:szCs w:val="24"/>
        </w:rPr>
        <w:fldChar w:fldCharType="end"/>
      </w:r>
      <w:r w:rsidRPr="00BE5371">
        <w:rPr>
          <w:rFonts w:ascii="Times New Roman" w:hAnsi="Times New Roman"/>
          <w:sz w:val="24"/>
          <w:szCs w:val="24"/>
        </w:rPr>
        <w:t xml:space="preserve">. Therapeutic communication serves as a pivotal competency for nurses to cultivate trusting relationships with patients, which is essential for the delivery of patient-centered care. </w:t>
      </w:r>
      <w:r w:rsidR="00DF264E" w:rsidRPr="00BE5371">
        <w:rPr>
          <w:rFonts w:ascii="Times New Roman" w:hAnsi="Times New Roman"/>
          <w:sz w:val="24"/>
          <w:szCs w:val="24"/>
        </w:rPr>
        <w:t>P</w:t>
      </w:r>
      <w:r w:rsidRPr="00BE5371">
        <w:rPr>
          <w:rFonts w:ascii="Times New Roman" w:hAnsi="Times New Roman"/>
          <w:sz w:val="24"/>
          <w:szCs w:val="24"/>
        </w:rPr>
        <w:t>roficient communication skills empower nurses to provide professional nursing interventions that resonate with patients' emotional and physical needs. Ultimately, these interpersonal dynamics do not only enhance the therapeutic outcome but also foster professional satisfaction and organizational credibility in an increasingly competitive healthcare landscape.</w:t>
      </w:r>
      <w:r w:rsidR="00633A4C" w:rsidRPr="00BE5371">
        <w:rPr>
          <w:rFonts w:ascii="Times New Roman" w:hAnsi="Times New Roman"/>
          <w:sz w:val="24"/>
          <w:szCs w:val="24"/>
        </w:rPr>
        <w:t xml:space="preserve"> According to researchers, the high level of effective therapeutic communication is due to nurses consistently interacting by </w:t>
      </w:r>
      <w:r w:rsidR="00633A4C" w:rsidRPr="00BE5371">
        <w:rPr>
          <w:rFonts w:ascii="Times New Roman" w:hAnsi="Times New Roman"/>
          <w:sz w:val="24"/>
          <w:szCs w:val="24"/>
        </w:rPr>
        <w:lastRenderedPageBreak/>
        <w:t>addressing patients by name, explaining examination procedures, inquiring about patient complaints, and informing patients of their observations regarding their illness</w:t>
      </w:r>
      <w:r w:rsidR="00DF264E" w:rsidRPr="00BE5371">
        <w:rPr>
          <w:rFonts w:ascii="Times New Roman" w:hAnsi="Times New Roman"/>
          <w:sz w:val="24"/>
          <w:szCs w:val="24"/>
        </w:rPr>
        <w:t xml:space="preserve"> </w:t>
      </w:r>
      <w:r w:rsidR="00DF264E" w:rsidRPr="00BE537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author":[{"dropping-particle":"","family":"Suryani","given":"","non-dropping-particle":"","parse-names":false,"suffix":""}],"edition":"2","id":"ITEM-1","issued":{"date-parts":[["2016"]]},"publisher":"EGC","publisher-place":"Jakarta","title":"Komunikasi Terapeutik: Teori dan Praktik Edisi 2","type":"book"},"uris":["http://www.mendeley.com/documents/?uuid=333c8e03-6385-46c8-a2ef-e6c339029ed9"]}],"mendeley":{"formattedCitation":"[15]","plainTextFormattedCitation":"[15]","previouslyFormattedCitation":"[15]"},"properties":{"noteIndex":0},"schema":"https://github.com/citation-style-language/schema/raw/master/csl-citation.json"}</w:instrText>
      </w:r>
      <w:r w:rsidR="00DF264E" w:rsidRPr="00BE5371">
        <w:rPr>
          <w:rFonts w:ascii="Times New Roman" w:hAnsi="Times New Roman"/>
          <w:sz w:val="24"/>
          <w:szCs w:val="24"/>
        </w:rPr>
        <w:fldChar w:fldCharType="separate"/>
      </w:r>
      <w:r w:rsidR="00AF5B51" w:rsidRPr="00AF5B51">
        <w:rPr>
          <w:rFonts w:ascii="Times New Roman" w:hAnsi="Times New Roman"/>
          <w:noProof/>
          <w:sz w:val="24"/>
          <w:szCs w:val="24"/>
        </w:rPr>
        <w:t>[15]</w:t>
      </w:r>
      <w:r w:rsidR="00DF264E" w:rsidRPr="00BE5371">
        <w:rPr>
          <w:rFonts w:ascii="Times New Roman" w:hAnsi="Times New Roman"/>
          <w:sz w:val="24"/>
          <w:szCs w:val="24"/>
        </w:rPr>
        <w:fldChar w:fldCharType="end"/>
      </w:r>
      <w:r w:rsidR="00DF264E" w:rsidRPr="00BE5371">
        <w:rPr>
          <w:rFonts w:ascii="Times New Roman" w:hAnsi="Times New Roman"/>
          <w:sz w:val="24"/>
          <w:szCs w:val="24"/>
        </w:rPr>
        <w:t>.</w:t>
      </w:r>
    </w:p>
    <w:p w14:paraId="1BE110B3" w14:textId="77777777" w:rsidR="00633A4C" w:rsidRPr="00BE5371" w:rsidRDefault="00633A4C" w:rsidP="001559E4">
      <w:pPr>
        <w:spacing w:after="0" w:line="360" w:lineRule="auto"/>
        <w:ind w:firstLine="425"/>
        <w:jc w:val="both"/>
        <w:rPr>
          <w:rFonts w:ascii="Times New Roman" w:hAnsi="Times New Roman"/>
          <w:sz w:val="24"/>
          <w:szCs w:val="24"/>
        </w:rPr>
      </w:pPr>
      <w:r w:rsidRPr="00BE5371">
        <w:rPr>
          <w:rFonts w:ascii="Times New Roman" w:hAnsi="Times New Roman"/>
          <w:sz w:val="24"/>
          <w:szCs w:val="24"/>
        </w:rPr>
        <w:t>Table 2 above shows that the quality of inpatient care is largely (63%) satisfactory, while 37% are dissatisfied, based on respondents' perceptions.</w:t>
      </w:r>
    </w:p>
    <w:p w14:paraId="10BF2BC0" w14:textId="51293E9D" w:rsidR="00633A4C" w:rsidRPr="00BE5371" w:rsidRDefault="00633A4C" w:rsidP="001559E4">
      <w:pPr>
        <w:spacing w:after="0" w:line="360" w:lineRule="auto"/>
        <w:ind w:firstLine="425"/>
        <w:jc w:val="both"/>
        <w:rPr>
          <w:rFonts w:ascii="Times New Roman" w:hAnsi="Times New Roman"/>
          <w:sz w:val="24"/>
          <w:szCs w:val="24"/>
        </w:rPr>
      </w:pPr>
      <w:r w:rsidRPr="00BE5371">
        <w:rPr>
          <w:rFonts w:ascii="Times New Roman" w:hAnsi="Times New Roman"/>
          <w:sz w:val="24"/>
          <w:szCs w:val="24"/>
        </w:rPr>
        <w:t>This is in line with research by Rahmatullah (2025), which showed that 76.4% of respondents considered the quality of nursing services to be good</w:t>
      </w:r>
      <w:r w:rsidR="00E81551" w:rsidRPr="00BE5371">
        <w:rPr>
          <w:rFonts w:ascii="Times New Roman" w:hAnsi="Times New Roman"/>
          <w:sz w:val="24"/>
          <w:szCs w:val="24"/>
        </w:rPr>
        <w:t xml:space="preserve"> </w:t>
      </w:r>
      <w:r w:rsidR="00E81551" w:rsidRPr="00BE537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{"citationItems":[{"id":"ITEM-1","itemData":{"author":[{"dropping-particle":"","family":"Rahmatullah","given":"Tiara","non-dropping-particle":"","parse-names":false,"suffix":""}],"id":"ITEM-1","issued":{"date-parts":[["2025"]]},"publisher":"UNIVERSITAS dr. SOEBANDI","title":"Hubungan Komunikasi Terapeutik Perawat dengan Mutu Pleyanan Keperawatan di Ruang Rawat Inap Kelas I RS Bhayangkara Bondowoso","type":"thesis"},"uris":["http://www.mendeley.com/documents/?uuid=24e2e24c-0a82-431a-925a-508ac6be5d50"]}],"mendeley":{"formattedCitation":"[12]","plainTextFormattedCitation":"[12]","previouslyFormattedCitation":"[12]"},"properties":{"noteIndex":0},"schema":"https://github.com/citation-style-language/schema/raw/master/csl-citation.json"}</w:instrText>
      </w:r>
      <w:r w:rsidR="00E81551" w:rsidRPr="00BE5371">
        <w:rPr>
          <w:rFonts w:ascii="Times New Roman" w:hAnsi="Times New Roman"/>
          <w:sz w:val="24"/>
          <w:szCs w:val="24"/>
        </w:rPr>
        <w:fldChar w:fldCharType="separate"/>
      </w:r>
      <w:r w:rsidR="00AF5B51" w:rsidRPr="00AF5B51">
        <w:rPr>
          <w:rFonts w:ascii="Times New Roman" w:hAnsi="Times New Roman"/>
          <w:noProof/>
          <w:sz w:val="24"/>
          <w:szCs w:val="24"/>
        </w:rPr>
        <w:t>[12]</w:t>
      </w:r>
      <w:r w:rsidR="00E81551" w:rsidRPr="00BE5371">
        <w:rPr>
          <w:rFonts w:ascii="Times New Roman" w:hAnsi="Times New Roman"/>
          <w:sz w:val="24"/>
          <w:szCs w:val="24"/>
        </w:rPr>
        <w:fldChar w:fldCharType="end"/>
      </w:r>
      <w:r w:rsidRPr="00BE5371">
        <w:rPr>
          <w:rFonts w:ascii="Times New Roman" w:hAnsi="Times New Roman"/>
          <w:sz w:val="24"/>
          <w:szCs w:val="24"/>
        </w:rPr>
        <w:t>. Another study by Kurniasari et al. (2024) showed that 39 respondents (78.0%) rated the quality of nursing services as satisfactory, while 11 respondents (22.0%) were dissatisfied</w:t>
      </w:r>
      <w:r w:rsidR="00E81551" w:rsidRPr="00BE5371">
        <w:rPr>
          <w:rFonts w:ascii="Times New Roman" w:hAnsi="Times New Roman"/>
          <w:sz w:val="24"/>
          <w:szCs w:val="24"/>
        </w:rPr>
        <w:t xml:space="preserve"> </w:t>
      </w:r>
      <w:r w:rsidR="00E81551" w:rsidRPr="00BE537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{"citationItems":[{"id":"ITEM-1","itemData":{"author":[{"dropping-particle":"","family":"Kurniasari","given":"Dyan","non-dropping-particle":"","parse-names":false,"suffix":""},{"dropping-particle":"","family":"Rumondang","given":"Patricia Rani","non-dropping-particle":"","parse-names":false,"suffix":""},{"dropping-particle":"","family":"Steffi","given":"Monika","non-dropping-particle":"","parse-names":false,"suffix":""},{"dropping-particle":"","family":"Sabatini","given":"Novia","non-dropping-particle":"","parse-names":false,"suffix":""},{"dropping-particle":"","family":"Sakit","given":"Rumah","non-dropping-particle":"","parse-names":false,"suffix":""},{"dropping-particle":"","family":"Solo","given":"Indriati","non-dropping-particle":"","parse-names":false,"suffix":""}],"container-title":"JURNAL SURYA MUDA","id":"ITEM-1","issue":"1","issued":{"date-parts":[["2024"]]},"title":"RUMAH SAKIT INDRIATI SOLO BARU THE IMPACT OF THERAPEUTIC COMMUNICATIONS ON THE END OF SERVICE IN THE HEMODIALYSIS ROOM OF THE NEW SINGLE-MINDED HOSPITAL","type":"article-journal","volume":"6"},"uris":["http://www.mendeley.com/documents/?uuid=cc5bbc0f-4f50-46c7-850c-19c259b793e0"]}],"mendeley":{"formattedCitation":"[13]","plainTextFormattedCitation":"[13]","previouslyFormattedCitation":"[13]"},"properties":{"noteIndex":0},"schema":"https://github.com/citation-style-language/schema/raw/master/csl-citation.json"}</w:instrText>
      </w:r>
      <w:r w:rsidR="00E81551" w:rsidRPr="00BE5371">
        <w:rPr>
          <w:rFonts w:ascii="Times New Roman" w:hAnsi="Times New Roman"/>
          <w:sz w:val="24"/>
          <w:szCs w:val="24"/>
        </w:rPr>
        <w:fldChar w:fldCharType="separate"/>
      </w:r>
      <w:r w:rsidR="00AF5B51" w:rsidRPr="00AF5B51">
        <w:rPr>
          <w:rFonts w:ascii="Times New Roman" w:hAnsi="Times New Roman"/>
          <w:noProof/>
          <w:sz w:val="24"/>
          <w:szCs w:val="24"/>
        </w:rPr>
        <w:t>[13]</w:t>
      </w:r>
      <w:r w:rsidR="00E81551" w:rsidRPr="00BE5371">
        <w:rPr>
          <w:rFonts w:ascii="Times New Roman" w:hAnsi="Times New Roman"/>
          <w:sz w:val="24"/>
          <w:szCs w:val="24"/>
        </w:rPr>
        <w:fldChar w:fldCharType="end"/>
      </w:r>
      <w:r w:rsidRPr="00BE5371">
        <w:rPr>
          <w:rFonts w:ascii="Times New Roman" w:hAnsi="Times New Roman"/>
          <w:sz w:val="24"/>
          <w:szCs w:val="24"/>
        </w:rPr>
        <w:t>.</w:t>
      </w:r>
    </w:p>
    <w:p w14:paraId="77552CB1" w14:textId="1408151A" w:rsidR="00633A4C" w:rsidRPr="00BE5371" w:rsidRDefault="00633A4C" w:rsidP="001559E4">
      <w:pPr>
        <w:spacing w:after="0" w:line="360" w:lineRule="auto"/>
        <w:ind w:firstLine="425"/>
        <w:jc w:val="both"/>
        <w:rPr>
          <w:rFonts w:ascii="Times New Roman" w:hAnsi="Times New Roman"/>
          <w:sz w:val="24"/>
          <w:szCs w:val="24"/>
        </w:rPr>
      </w:pPr>
      <w:r w:rsidRPr="00BE5371">
        <w:rPr>
          <w:rFonts w:ascii="Times New Roman" w:hAnsi="Times New Roman"/>
          <w:sz w:val="24"/>
          <w:szCs w:val="24"/>
        </w:rPr>
        <w:t>Service delivery can reflect excellent healthcare quality, where the higher the perceived quality, the greater the patient's satisfaction level, and vice versa</w:t>
      </w:r>
      <w:r w:rsidR="004C6F00" w:rsidRPr="00BE5371">
        <w:rPr>
          <w:rFonts w:ascii="Times New Roman" w:hAnsi="Times New Roman"/>
          <w:sz w:val="24"/>
          <w:szCs w:val="24"/>
        </w:rPr>
        <w:t xml:space="preserve"> </w:t>
      </w:r>
      <w:r w:rsidR="004C6F00" w:rsidRPr="00BE537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{"citationItems":[{"id":"ITEM-1","itemData":{"DOI":"https://doi.org/10.54973/jham.v1i2.101","author":[{"dropping-particle":"","family":"Mamesah","given":"Marline M","non-dropping-particle":"","parse-names":false,"suffix":""},{"dropping-particle":"","family":"Geonarso","given":"Roberto A","non-dropping-particle":"","parse-names":false,"suffix":""},{"dropping-particle":"","family":"Kurniawan","given":"Afif","non-dropping-particle":"","parse-names":false,"suffix":""}],"container-title":"Journal of Hospital Administration andManagement","id":"ITEM-1","issue":"2","issued":{"date-parts":[["2020"]]},"page":"23-28","title":"HUBUNGAN KOMUNIKASI EFEKTIF DENGAN MUTU PELAYANAN KESEHATAN DI RUMAH SAKIT","type":"article-journal","volume":"1"},"uris":["http://www.mendeley.com/documents/?uuid=c9f1d52f-3777-4682-b7cc-6c74b90a6578"]}],"mendeley":{"formattedCitation":"[16]","plainTextFormattedCitation":"[16]","previouslyFormattedCitation":"[16]"},"properties":{"noteIndex":0},"schema":"https://github.com/citation-style-language/schema/raw/master/csl-citation.json"}</w:instrText>
      </w:r>
      <w:r w:rsidR="004C6F00" w:rsidRPr="00BE5371">
        <w:rPr>
          <w:rFonts w:ascii="Times New Roman" w:hAnsi="Times New Roman"/>
          <w:sz w:val="24"/>
          <w:szCs w:val="24"/>
        </w:rPr>
        <w:fldChar w:fldCharType="separate"/>
      </w:r>
      <w:r w:rsidR="00AF5B51" w:rsidRPr="00AF5B51">
        <w:rPr>
          <w:rFonts w:ascii="Times New Roman" w:hAnsi="Times New Roman"/>
          <w:noProof/>
          <w:sz w:val="24"/>
          <w:szCs w:val="24"/>
        </w:rPr>
        <w:t>[16]</w:t>
      </w:r>
      <w:r w:rsidR="004C6F00" w:rsidRPr="00BE5371">
        <w:rPr>
          <w:rFonts w:ascii="Times New Roman" w:hAnsi="Times New Roman"/>
          <w:sz w:val="24"/>
          <w:szCs w:val="24"/>
        </w:rPr>
        <w:fldChar w:fldCharType="end"/>
      </w:r>
      <w:r w:rsidR="00E81551" w:rsidRPr="00BE5371">
        <w:rPr>
          <w:rFonts w:ascii="Times New Roman" w:hAnsi="Times New Roman"/>
          <w:sz w:val="24"/>
          <w:szCs w:val="24"/>
        </w:rPr>
        <w:t xml:space="preserve"> </w:t>
      </w:r>
      <w:r w:rsidRPr="00BE5371">
        <w:rPr>
          <w:rFonts w:ascii="Times New Roman" w:hAnsi="Times New Roman"/>
          <w:sz w:val="24"/>
          <w:szCs w:val="24"/>
        </w:rPr>
        <w:t>. Based on the researchers' observations, patient satisfaction with service quality is influenced by nurses' active involvement in providing information regarding patient compliance regulations, responding to patient needs and complaints, and explaining the care procedures to be performed.</w:t>
      </w:r>
    </w:p>
    <w:p w14:paraId="6C1FAC62" w14:textId="47F09779" w:rsidR="0042662F" w:rsidRPr="00BE5371" w:rsidRDefault="0042662F" w:rsidP="001559E4">
      <w:pPr>
        <w:spacing w:after="0" w:line="360" w:lineRule="auto"/>
        <w:ind w:firstLine="425"/>
        <w:jc w:val="both"/>
        <w:rPr>
          <w:rFonts w:ascii="Times New Roman" w:hAnsi="Times New Roman"/>
          <w:sz w:val="24"/>
          <w:szCs w:val="24"/>
        </w:rPr>
      </w:pPr>
      <w:r w:rsidRPr="00BE5371">
        <w:rPr>
          <w:rFonts w:ascii="Times New Roman" w:hAnsi="Times New Roman"/>
          <w:sz w:val="24"/>
          <w:szCs w:val="24"/>
        </w:rPr>
        <w:t>The statistical analysis yields a p-value of 0.000, which is lower than the significance level (α</w:t>
      </w:r>
      <w:r w:rsidRPr="00BE5371">
        <w:rPr>
          <w:rStyle w:val="math-inline"/>
          <w:rFonts w:ascii="Times New Roman" w:hAnsi="Times New Roman"/>
          <w:sz w:val="24"/>
          <w:szCs w:val="24"/>
        </w:rPr>
        <w:t xml:space="preserve"> = 0.05</w:t>
      </w:r>
      <w:r w:rsidRPr="00BE5371">
        <w:rPr>
          <w:rFonts w:ascii="Times New Roman" w:hAnsi="Times New Roman"/>
          <w:sz w:val="24"/>
          <w:szCs w:val="24"/>
        </w:rPr>
        <w:t>), thereby confirming a statistically significant relationship between the variables. This indicates that the effectiveness of nurses' therapeutic communication is profoundly associated with the quality of inpatient services at Hospital X, Kota Kediri.</w:t>
      </w:r>
    </w:p>
    <w:p w14:paraId="6B091F92" w14:textId="32CA21D8" w:rsidR="0042662F" w:rsidRPr="00BE5371" w:rsidRDefault="0042662F" w:rsidP="001559E4">
      <w:pPr>
        <w:spacing w:after="0" w:line="360" w:lineRule="auto"/>
        <w:ind w:firstLine="425"/>
        <w:jc w:val="both"/>
        <w:rPr>
          <w:rFonts w:ascii="Times New Roman" w:hAnsi="Times New Roman"/>
          <w:sz w:val="24"/>
          <w:szCs w:val="24"/>
        </w:rPr>
      </w:pPr>
      <w:r w:rsidRPr="00BE5371">
        <w:rPr>
          <w:rFonts w:ascii="Times New Roman" w:hAnsi="Times New Roman"/>
          <w:sz w:val="24"/>
          <w:szCs w:val="24"/>
        </w:rPr>
        <w:t>This finding is highly consistent with Rahmatullah (2025), whose Spearman rank analysis demonstrated a very strong correlation (</w:t>
      </w:r>
      <w:r w:rsidRPr="00BE5371">
        <w:rPr>
          <w:rStyle w:val="math-inline"/>
          <w:rFonts w:ascii="Times New Roman" w:hAnsi="Times New Roman"/>
          <w:sz w:val="24"/>
          <w:szCs w:val="24"/>
        </w:rPr>
        <w:t>r = 0.904; p = 0.000</w:t>
      </w:r>
      <w:r w:rsidRPr="00BE5371">
        <w:rPr>
          <w:rFonts w:ascii="Times New Roman" w:hAnsi="Times New Roman"/>
          <w:sz w:val="24"/>
          <w:szCs w:val="24"/>
        </w:rPr>
        <w:t>)</w:t>
      </w:r>
      <w:r w:rsidR="004C6F00" w:rsidRPr="00BE5371">
        <w:rPr>
          <w:rFonts w:ascii="Times New Roman" w:hAnsi="Times New Roman"/>
          <w:sz w:val="24"/>
          <w:szCs w:val="24"/>
        </w:rPr>
        <w:t xml:space="preserve"> </w:t>
      </w:r>
      <w:r w:rsidR="004C6F00" w:rsidRPr="00BE537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{"citationItems":[{"id":"ITEM-1","itemData":{"author":[{"dropping-particle":"","family":"Rahmatullah","given":"Tiara","non-dropping-particle":"","parse-names":false,"suffix":""}],"id":"ITEM-1","issued":{"date-parts":[["2025"]]},"publisher":"UNIVERSITAS dr. SOEBANDI","title":"Hubungan Komunikasi Terapeutik Perawat dengan Mutu Pleyanan Keperawatan di Ruang Rawat Inap Kelas I RS Bhayangkara Bondowoso","type":"thesis"},"uris":["http://www.mendeley.com/documents/?uuid=24e2e24c-0a82-431a-925a-508ac6be5d50"]}],"mendeley":{"formattedCitation":"[12]","plainTextFormattedCitation":"[12]","previouslyFormattedCitation":"[12]"},"properties":{"noteIndex":0},"schema":"https://github.com/citation-style-language/schema/raw/master/csl-citation.json"}</w:instrText>
      </w:r>
      <w:r w:rsidR="004C6F00" w:rsidRPr="00BE5371">
        <w:rPr>
          <w:rFonts w:ascii="Times New Roman" w:hAnsi="Times New Roman"/>
          <w:sz w:val="24"/>
          <w:szCs w:val="24"/>
        </w:rPr>
        <w:fldChar w:fldCharType="separate"/>
      </w:r>
      <w:r w:rsidR="00AF5B51" w:rsidRPr="00AF5B51">
        <w:rPr>
          <w:rFonts w:ascii="Times New Roman" w:hAnsi="Times New Roman"/>
          <w:noProof/>
          <w:sz w:val="24"/>
          <w:szCs w:val="24"/>
        </w:rPr>
        <w:t>[12]</w:t>
      </w:r>
      <w:r w:rsidR="004C6F00" w:rsidRPr="00BE5371">
        <w:rPr>
          <w:rFonts w:ascii="Times New Roman" w:hAnsi="Times New Roman"/>
          <w:sz w:val="24"/>
          <w:szCs w:val="24"/>
        </w:rPr>
        <w:fldChar w:fldCharType="end"/>
      </w:r>
      <w:r w:rsidRPr="00BE5371">
        <w:rPr>
          <w:rFonts w:ascii="Times New Roman" w:hAnsi="Times New Roman"/>
          <w:sz w:val="24"/>
          <w:szCs w:val="24"/>
        </w:rPr>
        <w:t xml:space="preserve">. Furthermore, Kurniasari et al. (2024) identified a similar impact within the hemodialysis unit, reporting a significance value of </w:t>
      </w:r>
      <w:r w:rsidRPr="00BE5371">
        <w:rPr>
          <w:rStyle w:val="math-inline"/>
          <w:rFonts w:ascii="Times New Roman" w:hAnsi="Times New Roman"/>
          <w:sz w:val="24"/>
          <w:szCs w:val="24"/>
        </w:rPr>
        <w:t>p &lt; 0.05</w:t>
      </w:r>
      <w:r w:rsidR="004C6F00" w:rsidRPr="00BE5371">
        <w:rPr>
          <w:rStyle w:val="math-inline"/>
          <w:rFonts w:ascii="Times New Roman" w:hAnsi="Times New Roman"/>
          <w:sz w:val="24"/>
          <w:szCs w:val="24"/>
        </w:rPr>
        <w:t xml:space="preserve"> </w:t>
      </w:r>
      <w:r w:rsidR="004C6F00" w:rsidRPr="00BE5371">
        <w:rPr>
          <w:rStyle w:val="math-inline"/>
          <w:rFonts w:ascii="Times New Roman" w:hAnsi="Times New Roman"/>
          <w:sz w:val="24"/>
          <w:szCs w:val="24"/>
        </w:rPr>
        <w:fldChar w:fldCharType="begin" w:fldLock="1"/>
      </w:r>
      <w:r w:rsidR="00CE56BB">
        <w:rPr>
          <w:rStyle w:val="math-inline"/>
          <w:rFonts w:ascii="Times New Roman" w:hAnsi="Times New Roman"/>
          <w:sz w:val="24"/>
          <w:szCs w:val="24"/>
        </w:rPr>
        <w:instrText>ADDIN CSL_CITATION {"citationItems":[{"id":"ITEM-1","itemData":{"author":[{"dropping-particle":"","family":"Kurniasari","given":"Dyan","non-dropping-particle":"","parse-names":false,"suffix":""},{"dropping-particle":"","family":"Rumondang","given":"Patricia Rani","non-dropping-particle":"","parse-names":false,"suffix":""},{"dropping-particle":"","family":"Steffi","given":"Monika","non-dropping-particle":"","parse-names":false,"suffix":""},{"dropping-particle":"","family":"Sabatini","given":"Novia","non-dropping-particle":"","parse-names":false,"suffix":""},{"dropping-particle":"","family":"Sakit","given":"Rumah","non-dropping-particle":"","parse-names":false,"suffix":""},{"dropping-particle":"","family":"Solo","given":"Indriati","non-dropping-particle":"","parse-names":false,"suffix":""}],"container-title":"JURNAL SURYA MUDA","id":"ITEM-1","issue":"1","issued":{"date-parts":[["2024"]]},"title":"RUMAH SAKIT INDRIATI SOLO BARU THE IMPACT OF THERAPEUTIC COMMUNICATIONS ON THE END OF SERVICE IN THE HEMODIALYSIS ROOM OF THE NEW SINGLE-MINDED HOSPITAL","type":"article-journal","volume":"6"},"uris":["http://www.mendeley.com/documents/?uuid=cc5bbc0f-4f50-46c7-850c-19c259b793e0"]}],"mendeley":{"formattedCitation":"[13]","plainTextFormattedCitation":"[13]","previouslyFormattedCitation":"[13]"},"properties":{"noteIndex":0},"schema":"https://github.com/citation-style-language/schema/raw/master/csl-citation.json"}</w:instrText>
      </w:r>
      <w:r w:rsidR="004C6F00" w:rsidRPr="00BE5371">
        <w:rPr>
          <w:rStyle w:val="math-inline"/>
          <w:rFonts w:ascii="Times New Roman" w:hAnsi="Times New Roman"/>
          <w:sz w:val="24"/>
          <w:szCs w:val="24"/>
        </w:rPr>
        <w:fldChar w:fldCharType="separate"/>
      </w:r>
      <w:r w:rsidR="00AF5B51" w:rsidRPr="00AF5B51">
        <w:rPr>
          <w:rStyle w:val="math-inline"/>
          <w:rFonts w:ascii="Times New Roman" w:hAnsi="Times New Roman"/>
          <w:noProof/>
          <w:sz w:val="24"/>
          <w:szCs w:val="24"/>
        </w:rPr>
        <w:t>[13]</w:t>
      </w:r>
      <w:r w:rsidR="004C6F00" w:rsidRPr="00BE5371">
        <w:rPr>
          <w:rStyle w:val="math-inline"/>
          <w:rFonts w:ascii="Times New Roman" w:hAnsi="Times New Roman"/>
          <w:sz w:val="24"/>
          <w:szCs w:val="24"/>
        </w:rPr>
        <w:fldChar w:fldCharType="end"/>
      </w:r>
      <w:r w:rsidRPr="00BE5371">
        <w:rPr>
          <w:rFonts w:ascii="Times New Roman" w:hAnsi="Times New Roman"/>
          <w:sz w:val="24"/>
          <w:szCs w:val="24"/>
        </w:rPr>
        <w:t>. These findings provide robust empirical evidence that therapeutic communication serves as a fundamental pillar in enhancing patient-perceived service quality, transcending different specialized medical wards.</w:t>
      </w:r>
    </w:p>
    <w:p w14:paraId="37CF7085" w14:textId="735A3B1E" w:rsidR="00B551A9" w:rsidRPr="00BE5371" w:rsidRDefault="00B551A9" w:rsidP="001559E4">
      <w:pPr>
        <w:spacing w:after="0" w:line="360" w:lineRule="auto"/>
        <w:ind w:firstLine="425"/>
        <w:jc w:val="both"/>
        <w:rPr>
          <w:rFonts w:ascii="Times New Roman" w:hAnsi="Times New Roman"/>
          <w:sz w:val="28"/>
          <w:szCs w:val="28"/>
        </w:rPr>
      </w:pPr>
      <w:r w:rsidRPr="00BE5371">
        <w:rPr>
          <w:rFonts w:ascii="Times New Roman" w:hAnsi="Times New Roman"/>
          <w:sz w:val="24"/>
          <w:szCs w:val="24"/>
        </w:rPr>
        <w:t xml:space="preserve">Communication plays a crucial role in helping patients understand their health conditions, the problems they face, and the treatment plan they will undergo </w:t>
      </w:r>
      <w:r w:rsidR="004C6F00" w:rsidRPr="00BE537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{"citationItems":[{"id":"ITEM-1","itemData":{"DOI":"https://doi.org/10.54973/jham.v1i2.101","author":[{"dropping-particle":"","family":"Mamesah","given":"Marline M","non-dropping-particle":"","parse-names":false,"suffix":""},{"dropping-particle":"","family":"Geonarso","given":"Roberto A","non-dropping-particle":"","parse-names":false,"suffix":""},{"dropping-particle":"","family":"Kurniawan","given":"Afif","non-dropping-particle":"","parse-names":false,"suffix":""}],"container-title":"Journal of Hospital Administration andManagement","id":"ITEM-1","issue":"2","issued":{"date-parts":[["2020"]]},"page":"23-28","title":"HUBUNGAN KOMUNIKASI EFEKTIF DENGAN MUTU PELAYANAN KESEHATAN DI RUMAH SAKIT","type":"article-journal","volume":"1"},"uris":["http://www.mendeley.com/documents/?uuid=c9f1d52f-3777-4682-b7cc-6c74b90a6578"]}],"mendeley":{"formattedCitation":"[16]","plainTextFormattedCitation":"[16]","previouslyFormattedCitation":"[16]"},"properties":{"noteIndex":0},"schema":"https://github.com/citation-style-language/schema/raw/master/csl-citation.json"}</w:instrText>
      </w:r>
      <w:r w:rsidR="004C6F00" w:rsidRPr="00BE5371">
        <w:rPr>
          <w:rFonts w:ascii="Times New Roman" w:hAnsi="Times New Roman"/>
          <w:sz w:val="24"/>
          <w:szCs w:val="24"/>
        </w:rPr>
        <w:fldChar w:fldCharType="separate"/>
      </w:r>
      <w:r w:rsidR="00AF5B51" w:rsidRPr="00AF5B51">
        <w:rPr>
          <w:rFonts w:ascii="Times New Roman" w:hAnsi="Times New Roman"/>
          <w:noProof/>
          <w:sz w:val="24"/>
          <w:szCs w:val="24"/>
        </w:rPr>
        <w:t>[16]</w:t>
      </w:r>
      <w:r w:rsidR="004C6F00" w:rsidRPr="00BE5371">
        <w:rPr>
          <w:rFonts w:ascii="Times New Roman" w:hAnsi="Times New Roman"/>
          <w:sz w:val="24"/>
          <w:szCs w:val="24"/>
        </w:rPr>
        <w:fldChar w:fldCharType="end"/>
      </w:r>
      <w:r w:rsidRPr="00BE5371">
        <w:rPr>
          <w:rFonts w:ascii="Times New Roman" w:hAnsi="Times New Roman"/>
          <w:sz w:val="24"/>
          <w:szCs w:val="24"/>
        </w:rPr>
        <w:t xml:space="preserve">. While facilities and infrastructure are often considered primary indicators of service quality, in the context of nursing care, the behavior and communicative attitudes of nurses and healthcare workers are also key factors that significantly influence patient satisfaction </w:t>
      </w:r>
      <w:r w:rsidR="004C6F00" w:rsidRPr="00BE5371">
        <w:rPr>
          <w:rFonts w:ascii="Times New Roman" w:hAnsi="Times New Roman"/>
          <w:sz w:val="24"/>
          <w:szCs w:val="24"/>
        </w:rPr>
        <w:fldChar w:fldCharType="begin" w:fldLock="1"/>
      </w:r>
      <w:r w:rsidR="00CE56BB">
        <w:rPr>
          <w:rFonts w:ascii="Times New Roman" w:hAnsi="Times New Roman"/>
          <w:sz w:val="24"/>
          <w:szCs w:val="24"/>
        </w:rPr>
        <w:instrText>ADDIN CSL_CITATION {"citationItems":[{"id":"ITEM-1","itemData":{"author":[{"dropping-particle":"","family":"Kurniasari","given":"Dyan","non-dropping-particle":"","parse-names":false,"suffix":""},{"dropping-particle":"","family":"Rumondang","given":"Patricia Rani","non-dropping-particle":"","parse-names":false,"suffix":""},{"dropping-particle":"","family":"Steffi","given":"Monika","non-dropping-particle":"","parse-names":false,"suffix":""},{"dropping-particle":"","family":"Sabatini","given":"Novia","non-dropping-particle":"","parse-names":false,"suffix":""},{"dropping-particle":"","family":"Sakit","given":"Rumah","non-dropping-particle":"","parse-names":false,"suffix":""},{"dropping-particle":"","family":"Solo","given":"Indriati","non-dropping-particle":"","parse-names":false,"suffix":""}],"container-title":"JURNAL SURYA MUDA","id":"ITEM-1","issue":"1","issued":{"date-parts":[["2024"]]},"title":"RUMAH SAKIT INDRIATI SOLO BARU THE IMPACT OF THERAPEUTIC COMMUNICATIONS ON THE END OF SERVICE IN THE HEMODIALYSIS ROOM OF THE NEW SINGLE-MINDED HOSPITAL","type":"article-journal","volume":"6"},"uris":["http://www.mendeley.com/documents/?uuid=cc5bbc0f-4f50-46c7-850c-19c259b793e0"]}],"mendeley":{"formattedCitation":"[13]","plainTextFormattedCitation":"[13]","previouslyFormattedCitation":"[13]"},"properties":{"noteIndex":0},"schema":"https://github.com/citation-style-language/schema/raw/master/csl-citation.json"}</w:instrText>
      </w:r>
      <w:r w:rsidR="004C6F00" w:rsidRPr="00BE5371">
        <w:rPr>
          <w:rFonts w:ascii="Times New Roman" w:hAnsi="Times New Roman"/>
          <w:sz w:val="24"/>
          <w:szCs w:val="24"/>
        </w:rPr>
        <w:fldChar w:fldCharType="separate"/>
      </w:r>
      <w:r w:rsidR="00AF5B51" w:rsidRPr="00AF5B51">
        <w:rPr>
          <w:rFonts w:ascii="Times New Roman" w:hAnsi="Times New Roman"/>
          <w:noProof/>
          <w:sz w:val="24"/>
          <w:szCs w:val="24"/>
        </w:rPr>
        <w:t>[13]</w:t>
      </w:r>
      <w:r w:rsidR="004C6F00" w:rsidRPr="00BE5371">
        <w:rPr>
          <w:rFonts w:ascii="Times New Roman" w:hAnsi="Times New Roman"/>
          <w:sz w:val="24"/>
          <w:szCs w:val="24"/>
        </w:rPr>
        <w:fldChar w:fldCharType="end"/>
      </w:r>
      <w:r w:rsidRPr="00BE5371">
        <w:rPr>
          <w:rFonts w:ascii="Times New Roman" w:hAnsi="Times New Roman"/>
          <w:sz w:val="24"/>
          <w:szCs w:val="24"/>
        </w:rPr>
        <w:t xml:space="preserve">. Field observations support these findings, with respondents often assessing service quality not only from physical and technical aspects but also from how healthcare workers, </w:t>
      </w:r>
      <w:r w:rsidRPr="00BE5371">
        <w:rPr>
          <w:rFonts w:ascii="Times New Roman" w:hAnsi="Times New Roman"/>
          <w:sz w:val="24"/>
          <w:szCs w:val="24"/>
        </w:rPr>
        <w:lastRenderedPageBreak/>
        <w:t>particularly nurses, interact with them personally and professionally. Warm, clear, and empathetic communication from nurses has been shown to improve patient comfort, build trust, and encourage patients to be more actively involved in the care process. When communication is open and supportive, patients feel more trusting of healthcare workers, a key foundation for the healing process. Overall, both research findings and real-world experiences suggest that therapeutic communication is a crucial aspect of nursing care that significantly impacts service quality. Therefore, improving the quality of communication between nurses and patients must be a priority in efforts to improve the quality of nursing services in various health facilities.</w:t>
      </w:r>
    </w:p>
    <w:p w14:paraId="4FE493A7" w14:textId="77777777" w:rsidR="0035118B" w:rsidRPr="00BE5371" w:rsidRDefault="0035118B" w:rsidP="001559E4">
      <w:pPr>
        <w:spacing w:after="0" w:line="360" w:lineRule="auto"/>
        <w:ind w:left="284"/>
        <w:jc w:val="both"/>
        <w:rPr>
          <w:rFonts w:ascii="Times New Roman" w:hAnsi="Times New Roman"/>
          <w:lang w:eastAsia="id-ID"/>
        </w:rPr>
      </w:pPr>
    </w:p>
    <w:p w14:paraId="1C31457B" w14:textId="77777777" w:rsidR="00B551A9" w:rsidRPr="00BE5371" w:rsidRDefault="00B551A9" w:rsidP="001559E4">
      <w:pPr>
        <w:spacing w:after="0" w:line="360" w:lineRule="auto"/>
        <w:rPr>
          <w:rFonts w:ascii="Times New Roman" w:hAnsi="Times New Roman"/>
          <w:sz w:val="24"/>
          <w:szCs w:val="24"/>
          <w:lang w:eastAsia="id-ID"/>
        </w:rPr>
      </w:pPr>
      <w:r w:rsidRPr="00BE5371">
        <w:rPr>
          <w:rFonts w:ascii="Times New Roman" w:hAnsi="Times New Roman"/>
          <w:b/>
          <w:bCs/>
          <w:sz w:val="24"/>
          <w:szCs w:val="24"/>
          <w:lang w:val="en-US" w:eastAsia="id-ID"/>
        </w:rPr>
        <w:t>CONCLUSION</w:t>
      </w:r>
      <w:r w:rsidRPr="00BE5371">
        <w:rPr>
          <w:rFonts w:ascii="Times New Roman" w:hAnsi="Times New Roman"/>
          <w:sz w:val="24"/>
          <w:szCs w:val="24"/>
          <w:lang w:eastAsia="id-ID"/>
        </w:rPr>
        <w:t xml:space="preserve"> </w:t>
      </w:r>
    </w:p>
    <w:p w14:paraId="36638E91" w14:textId="016E26B4" w:rsidR="0042662F" w:rsidRDefault="0042662F" w:rsidP="001559E4">
      <w:pPr>
        <w:spacing w:after="0" w:line="360" w:lineRule="auto"/>
        <w:ind w:firstLine="425"/>
        <w:jc w:val="both"/>
        <w:rPr>
          <w:rFonts w:ascii="Times New Roman" w:eastAsia="Times New Roman" w:hAnsi="Times New Roman"/>
          <w:sz w:val="24"/>
          <w:szCs w:val="24"/>
          <w:lang w:val="en-US"/>
        </w:rPr>
      </w:pPr>
      <w:r w:rsidRPr="00BE5371">
        <w:rPr>
          <w:rFonts w:ascii="Times New Roman" w:eastAsia="Times New Roman" w:hAnsi="Times New Roman"/>
          <w:sz w:val="24"/>
          <w:szCs w:val="24"/>
          <w:lang w:val="en-US"/>
        </w:rPr>
        <w:t xml:space="preserve">It is possible to draw the following conclusions from the analysis of the study on the impact </w:t>
      </w:r>
      <w:r w:rsidRPr="00BE5371">
        <w:rPr>
          <w:rFonts w:ascii="Times New Roman" w:hAnsi="Times New Roman"/>
          <w:sz w:val="24"/>
          <w:szCs w:val="24"/>
        </w:rPr>
        <w:t>of</w:t>
      </w:r>
      <w:r w:rsidRPr="00BE5371">
        <w:rPr>
          <w:rFonts w:ascii="Times New Roman" w:eastAsia="Times New Roman" w:hAnsi="Times New Roman"/>
          <w:sz w:val="24"/>
          <w:szCs w:val="24"/>
          <w:lang w:val="en-US"/>
        </w:rPr>
        <w:t xml:space="preserve"> nurse performance on the quality of inpatient services at Hospital X, Kediri Regency: a. Patients have evaluated therapeutic communication in the inpatient installation at Hospital X, Kota Kediri, as being good. b. Patients have rated the inpatient installation at Hospital X, Kediri Regency, as having good service quality. c. Based on patient opinions at Hospital X, Kediri Regency, there is a correlation between the quality of inpatient services and the efficacy of nurse therapeutic communication, with a significance value of 0.000 (&lt;0.05) and a coefficient value of 0.389.</w:t>
      </w:r>
    </w:p>
    <w:p w14:paraId="29A35D0F" w14:textId="77777777" w:rsidR="001559E4" w:rsidRPr="00BE5371" w:rsidRDefault="001559E4" w:rsidP="001559E4">
      <w:pPr>
        <w:spacing w:after="0" w:line="360" w:lineRule="auto"/>
        <w:jc w:val="both"/>
        <w:rPr>
          <w:rFonts w:ascii="Times New Roman" w:hAnsi="Times New Roman"/>
          <w:b/>
          <w:bCs/>
          <w:sz w:val="24"/>
          <w:szCs w:val="24"/>
          <w:lang w:val="en-US" w:eastAsia="id-ID"/>
        </w:rPr>
      </w:pPr>
    </w:p>
    <w:p w14:paraId="2AE98995" w14:textId="2539D315" w:rsidR="0035118B" w:rsidRPr="00BE5371" w:rsidRDefault="00501B08" w:rsidP="001559E4">
      <w:pPr>
        <w:spacing w:after="0" w:line="360" w:lineRule="auto"/>
        <w:rPr>
          <w:rFonts w:ascii="Times New Roman" w:hAnsi="Times New Roman"/>
          <w:b/>
          <w:bCs/>
          <w:sz w:val="24"/>
          <w:szCs w:val="24"/>
          <w:lang w:eastAsia="id-ID"/>
        </w:rPr>
      </w:pPr>
      <w:r w:rsidRPr="00BE5371">
        <w:rPr>
          <w:rFonts w:ascii="Times New Roman" w:hAnsi="Times New Roman"/>
          <w:b/>
          <w:bCs/>
          <w:sz w:val="24"/>
          <w:szCs w:val="24"/>
          <w:lang w:val="en-US" w:eastAsia="id-ID"/>
        </w:rPr>
        <w:t>Daftar Pustaka</w:t>
      </w:r>
      <w:r w:rsidR="007E56CA" w:rsidRPr="00BE5371">
        <w:rPr>
          <w:rFonts w:ascii="Times New Roman" w:hAnsi="Times New Roman"/>
          <w:b/>
          <w:bCs/>
          <w:sz w:val="24"/>
          <w:szCs w:val="24"/>
          <w:lang w:eastAsia="id-ID"/>
        </w:rPr>
        <w:t xml:space="preserve"> </w:t>
      </w:r>
    </w:p>
    <w:p w14:paraId="39E6B0CA" w14:textId="5F7D72F9"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sz w:val="24"/>
          <w:szCs w:val="24"/>
          <w:lang w:eastAsia="id-ID"/>
        </w:rPr>
        <w:fldChar w:fldCharType="begin" w:fldLock="1"/>
      </w:r>
      <w:r w:rsidRPr="00CE56BB">
        <w:rPr>
          <w:rFonts w:ascii="Times New Roman" w:hAnsi="Times New Roman"/>
          <w:sz w:val="24"/>
          <w:szCs w:val="24"/>
          <w:lang w:eastAsia="id-ID"/>
        </w:rPr>
        <w:instrText xml:space="preserve">ADDIN Mendeley Bibliography CSL_BIBLIOGRAPHY </w:instrText>
      </w:r>
      <w:r w:rsidRPr="00CE56BB">
        <w:rPr>
          <w:rFonts w:ascii="Times New Roman" w:hAnsi="Times New Roman"/>
          <w:sz w:val="24"/>
          <w:szCs w:val="24"/>
          <w:lang w:eastAsia="id-ID"/>
        </w:rPr>
        <w:fldChar w:fldCharType="separate"/>
      </w:r>
      <w:r w:rsidRPr="00CE56BB">
        <w:rPr>
          <w:rFonts w:ascii="Times New Roman" w:hAnsi="Times New Roman"/>
          <w:noProof/>
          <w:sz w:val="24"/>
          <w:szCs w:val="28"/>
        </w:rPr>
        <w:t>[1]</w:t>
      </w:r>
      <w:r w:rsidRPr="00CE56BB">
        <w:rPr>
          <w:rFonts w:ascii="Times New Roman" w:hAnsi="Times New Roman"/>
          <w:noProof/>
          <w:sz w:val="24"/>
          <w:szCs w:val="28"/>
        </w:rPr>
        <w:tab/>
        <w:t xml:space="preserve">Lisna; et all, “Pengaruh Mutu Pelayanan terhadap Tingkat Kepuasan Pasien Rawat Inap di Puskesmas Lapai Kabupaten Kolaka Utara,” </w:t>
      </w:r>
      <w:r w:rsidRPr="00CE56BB">
        <w:rPr>
          <w:rFonts w:ascii="Times New Roman" w:hAnsi="Times New Roman"/>
          <w:i/>
          <w:iCs/>
          <w:noProof/>
          <w:sz w:val="24"/>
          <w:szCs w:val="28"/>
        </w:rPr>
        <w:t>J. Keperawatan dan Kebidanan</w:t>
      </w:r>
      <w:r w:rsidRPr="00CE56BB">
        <w:rPr>
          <w:rFonts w:ascii="Times New Roman" w:hAnsi="Times New Roman"/>
          <w:noProof/>
          <w:sz w:val="24"/>
          <w:szCs w:val="28"/>
        </w:rPr>
        <w:t>, vol. 5, no. 1, pp. 15–27, 2022, doi: DOI:10.55173/nersmid.v5i1.100.</w:t>
      </w:r>
    </w:p>
    <w:p w14:paraId="6218F90B"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[2]</w:t>
      </w:r>
      <w:r w:rsidRPr="00CE56BB">
        <w:rPr>
          <w:rFonts w:ascii="Times New Roman" w:hAnsi="Times New Roman"/>
          <w:noProof/>
          <w:sz w:val="24"/>
          <w:szCs w:val="28"/>
        </w:rPr>
        <w:tab/>
        <w:t xml:space="preserve">Nursalam, </w:t>
      </w:r>
      <w:r w:rsidRPr="00CE56BB">
        <w:rPr>
          <w:rFonts w:ascii="Times New Roman" w:hAnsi="Times New Roman"/>
          <w:i/>
          <w:iCs/>
          <w:noProof/>
          <w:sz w:val="24"/>
          <w:szCs w:val="28"/>
        </w:rPr>
        <w:t>Manajemen Keparawatan: Aplikasi dalam Praktik Keperawatan Profesional</w:t>
      </w:r>
      <w:r w:rsidRPr="00CE56BB">
        <w:rPr>
          <w:rFonts w:ascii="Times New Roman" w:hAnsi="Times New Roman"/>
          <w:noProof/>
          <w:sz w:val="24"/>
          <w:szCs w:val="28"/>
        </w:rPr>
        <w:t>, 5th ed. Jakarta Selatan: Salemba Medika, 2020.</w:t>
      </w:r>
    </w:p>
    <w:p w14:paraId="7316F5A8"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[3]</w:t>
      </w:r>
      <w:r w:rsidRPr="00CE56BB">
        <w:rPr>
          <w:rFonts w:ascii="Times New Roman" w:hAnsi="Times New Roman"/>
          <w:noProof/>
          <w:sz w:val="24"/>
          <w:szCs w:val="28"/>
        </w:rPr>
        <w:tab/>
        <w:t xml:space="preserve">N. Akseizer, O., &amp; Sakhnini, “The role of frontline nurses in shaping patient satisfaction and hospital quality metrics,” </w:t>
      </w:r>
      <w:r w:rsidRPr="00CE56BB">
        <w:rPr>
          <w:rFonts w:ascii="Times New Roman" w:hAnsi="Times New Roman"/>
          <w:i/>
          <w:iCs/>
          <w:noProof/>
          <w:sz w:val="24"/>
          <w:szCs w:val="28"/>
        </w:rPr>
        <w:t>J. Nurs. Care Qual.</w:t>
      </w:r>
      <w:r w:rsidRPr="00CE56BB">
        <w:rPr>
          <w:rFonts w:ascii="Times New Roman" w:hAnsi="Times New Roman"/>
          <w:noProof/>
          <w:sz w:val="24"/>
          <w:szCs w:val="28"/>
        </w:rPr>
        <w:t>, vol. 36, no. 3, pp. 204–210, 2021.</w:t>
      </w:r>
    </w:p>
    <w:p w14:paraId="52DB25FE"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lastRenderedPageBreak/>
        <w:t>[4]</w:t>
      </w:r>
      <w:r w:rsidRPr="00CE56BB">
        <w:rPr>
          <w:rFonts w:ascii="Times New Roman" w:hAnsi="Times New Roman"/>
          <w:noProof/>
          <w:sz w:val="24"/>
          <w:szCs w:val="28"/>
        </w:rPr>
        <w:tab/>
        <w:t xml:space="preserve">E. Rahayu, M ; Mudmainah; G.S, “Hubungan Mutu Pelayanan Kesehatan Terhadap Tingkat Kepuasan Pasien di Poliklinik TB Paru Puskesmas Bihbul Kecamatan Margahayu Bandung.,” </w:t>
      </w:r>
      <w:r w:rsidRPr="00CE56BB">
        <w:rPr>
          <w:rFonts w:ascii="Times New Roman" w:hAnsi="Times New Roman"/>
          <w:i/>
          <w:iCs/>
          <w:noProof/>
          <w:sz w:val="24"/>
          <w:szCs w:val="28"/>
        </w:rPr>
        <w:t>J. Kesehat. Rajawali</w:t>
      </w:r>
      <w:r w:rsidRPr="00CE56BB">
        <w:rPr>
          <w:rFonts w:ascii="Times New Roman" w:hAnsi="Times New Roman"/>
          <w:noProof/>
          <w:sz w:val="24"/>
          <w:szCs w:val="28"/>
        </w:rPr>
        <w:t>, vol. 14, no. 1, pp. 38–41, 2024, [Online]. Available: https://ojs.rajawali.ac.id/index.php/JKR</w:t>
      </w:r>
    </w:p>
    <w:p w14:paraId="3C4D53C5"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[5]</w:t>
      </w:r>
      <w:r w:rsidRPr="00CE56BB">
        <w:rPr>
          <w:rFonts w:ascii="Times New Roman" w:hAnsi="Times New Roman"/>
          <w:noProof/>
          <w:sz w:val="24"/>
          <w:szCs w:val="28"/>
        </w:rPr>
        <w:tab/>
        <w:t xml:space="preserve">C. S. Chita, Dhinta Feritsya; Budiarto, Wasis; Hartati, “ANALISIS PENGARUH PENGALAMAN KERJA DAN PELATIHAN TERHADAP MUTU PELAYANAN DAN KINERJA TENAGA KESEHATAN RUMAH SAKIT ISLAM (RSI) SURABAYA,” </w:t>
      </w:r>
      <w:r w:rsidRPr="00CE56BB">
        <w:rPr>
          <w:rFonts w:ascii="Times New Roman" w:hAnsi="Times New Roman"/>
          <w:i/>
          <w:iCs/>
          <w:noProof/>
          <w:sz w:val="24"/>
          <w:szCs w:val="28"/>
        </w:rPr>
        <w:t>J. Ekon.</w:t>
      </w:r>
      <w:r w:rsidRPr="00CE56BB">
        <w:rPr>
          <w:rFonts w:ascii="Times New Roman" w:hAnsi="Times New Roman"/>
          <w:noProof/>
          <w:sz w:val="24"/>
          <w:szCs w:val="28"/>
        </w:rPr>
        <w:t>, vol. 9, no. 2, pp. 151–162, 2022, [Online]. Available: https://jurnaluniv45sby.ac.id/index.php/ekonomika/article/view/216/210</w:t>
      </w:r>
    </w:p>
    <w:p w14:paraId="7D9385E1"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[6]</w:t>
      </w:r>
      <w:r w:rsidRPr="00CE56BB">
        <w:rPr>
          <w:rFonts w:ascii="Times New Roman" w:hAnsi="Times New Roman"/>
          <w:noProof/>
          <w:sz w:val="24"/>
          <w:szCs w:val="28"/>
        </w:rPr>
        <w:tab/>
        <w:t xml:space="preserve">World Health Organization (WHO), “Patient safety: Global action on patient safety,” </w:t>
      </w:r>
      <w:r w:rsidRPr="00CE56BB">
        <w:rPr>
          <w:rFonts w:ascii="Times New Roman" w:hAnsi="Times New Roman"/>
          <w:i/>
          <w:iCs/>
          <w:noProof/>
          <w:sz w:val="24"/>
          <w:szCs w:val="28"/>
        </w:rPr>
        <w:t>WHO Guidelines</w:t>
      </w:r>
      <w:r w:rsidRPr="00CE56BB">
        <w:rPr>
          <w:rFonts w:ascii="Times New Roman" w:hAnsi="Times New Roman"/>
          <w:noProof/>
          <w:sz w:val="24"/>
          <w:szCs w:val="28"/>
        </w:rPr>
        <w:t>, Geneva, 2020.</w:t>
      </w:r>
    </w:p>
    <w:p w14:paraId="1F83F65C"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[7]</w:t>
      </w:r>
      <w:r w:rsidRPr="00CE56BB">
        <w:rPr>
          <w:rFonts w:ascii="Times New Roman" w:hAnsi="Times New Roman"/>
          <w:noProof/>
          <w:sz w:val="24"/>
          <w:szCs w:val="28"/>
        </w:rPr>
        <w:tab/>
        <w:t xml:space="preserve">P. M. Kwame, A., &amp; Petrucka, “A literature review of patient-centered communication and patient-centered care as therapeutic approaches in nursing,” </w:t>
      </w:r>
      <w:r w:rsidRPr="00CE56BB">
        <w:rPr>
          <w:rFonts w:ascii="Times New Roman" w:hAnsi="Times New Roman"/>
          <w:i/>
          <w:iCs/>
          <w:noProof/>
          <w:sz w:val="24"/>
          <w:szCs w:val="28"/>
        </w:rPr>
        <w:t>BMC Nurs.</w:t>
      </w:r>
      <w:r w:rsidRPr="00CE56BB">
        <w:rPr>
          <w:rFonts w:ascii="Times New Roman" w:hAnsi="Times New Roman"/>
          <w:noProof/>
          <w:sz w:val="24"/>
          <w:szCs w:val="28"/>
        </w:rPr>
        <w:t>, vol. 20, no. 1, pp. 1–10, 2021.</w:t>
      </w:r>
    </w:p>
    <w:p w14:paraId="248EF75F"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[8]</w:t>
      </w:r>
      <w:r w:rsidRPr="00CE56BB">
        <w:rPr>
          <w:rFonts w:ascii="Times New Roman" w:hAnsi="Times New Roman"/>
          <w:noProof/>
          <w:sz w:val="24"/>
          <w:szCs w:val="28"/>
        </w:rPr>
        <w:tab/>
        <w:t xml:space="preserve"> et al. Anhang Price, R., Elliott, M. N., Zaslavsky, A. M., “Examining the role of patient experience surveys in measuring health care quality,” </w:t>
      </w:r>
      <w:r w:rsidRPr="00CE56BB">
        <w:rPr>
          <w:rFonts w:ascii="Times New Roman" w:hAnsi="Times New Roman"/>
          <w:i/>
          <w:iCs/>
          <w:noProof/>
          <w:sz w:val="24"/>
          <w:szCs w:val="28"/>
        </w:rPr>
        <w:t>Med. Care Res. Rev.</w:t>
      </w:r>
      <w:r w:rsidRPr="00CE56BB">
        <w:rPr>
          <w:rFonts w:ascii="Times New Roman" w:hAnsi="Times New Roman"/>
          <w:noProof/>
          <w:sz w:val="24"/>
          <w:szCs w:val="28"/>
        </w:rPr>
        <w:t>, vol. 71, no. 5, pp. 522–554, 2024.</w:t>
      </w:r>
    </w:p>
    <w:p w14:paraId="1BB4CA16"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[9]</w:t>
      </w:r>
      <w:r w:rsidRPr="00CE56BB">
        <w:rPr>
          <w:rFonts w:ascii="Times New Roman" w:hAnsi="Times New Roman"/>
          <w:noProof/>
          <w:sz w:val="24"/>
          <w:szCs w:val="28"/>
        </w:rPr>
        <w:tab/>
        <w:t xml:space="preserve">G. P. Crider KS, Williams JL, Qi YP, Gutman J, Yeung LF, Mai CT, Finkelstein JL, Mehta S, Pons-Duran C, Menéndez C, Moraleda C, Rogers LM, Daniels K, “Folic acid supplementation and malaria susceptibility and severity among people taking antifolate antimalarial drugs in endemic areas (Protocol),” </w:t>
      </w:r>
      <w:r w:rsidRPr="00CE56BB">
        <w:rPr>
          <w:rFonts w:ascii="Times New Roman" w:hAnsi="Times New Roman"/>
          <w:i/>
          <w:iCs/>
          <w:noProof/>
          <w:sz w:val="24"/>
          <w:szCs w:val="28"/>
        </w:rPr>
        <w:t>Cochrane Database Syst Rev</w:t>
      </w:r>
      <w:r w:rsidRPr="00CE56BB">
        <w:rPr>
          <w:rFonts w:ascii="Times New Roman" w:hAnsi="Times New Roman"/>
          <w:noProof/>
          <w:sz w:val="24"/>
          <w:szCs w:val="28"/>
        </w:rPr>
        <w:t>, vol. 18, no. 1–19, p. 2, 2022, doi: 10.1002/14651858.CD014217.</w:t>
      </w:r>
    </w:p>
    <w:p w14:paraId="01B967EA"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[10]</w:t>
      </w:r>
      <w:r w:rsidRPr="00CE56BB">
        <w:rPr>
          <w:rFonts w:ascii="Times New Roman" w:hAnsi="Times New Roman"/>
          <w:noProof/>
          <w:sz w:val="24"/>
          <w:szCs w:val="28"/>
        </w:rPr>
        <w:tab/>
        <w:t xml:space="preserve">E. apriani, mentari; surekiarti, “Hubungan Kinerja Perawat Terhadap Daya Tanggap Mutu Pelayanan Keperawatan Di RSIA Quratta A ’ yun Samarinda Tahun 2020,” </w:t>
      </w:r>
      <w:r w:rsidRPr="00CE56BB">
        <w:rPr>
          <w:rFonts w:ascii="Times New Roman" w:hAnsi="Times New Roman"/>
          <w:i/>
          <w:iCs/>
          <w:noProof/>
          <w:sz w:val="24"/>
          <w:szCs w:val="28"/>
        </w:rPr>
        <w:t>Borneo Student Res.</w:t>
      </w:r>
      <w:r w:rsidRPr="00CE56BB">
        <w:rPr>
          <w:rFonts w:ascii="Times New Roman" w:hAnsi="Times New Roman"/>
          <w:noProof/>
          <w:sz w:val="24"/>
          <w:szCs w:val="28"/>
        </w:rPr>
        <w:t>, vol. 2, no. 2, pp. 987–993, 2021, [Online]. Available: https://journals.umkt.ac.id/index.php/bsr/article/view/1585/791</w:t>
      </w:r>
    </w:p>
    <w:p w14:paraId="40D43F25"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[11]</w:t>
      </w:r>
      <w:r w:rsidRPr="00CE56BB">
        <w:rPr>
          <w:rFonts w:ascii="Times New Roman" w:hAnsi="Times New Roman"/>
          <w:noProof/>
          <w:sz w:val="24"/>
          <w:szCs w:val="28"/>
        </w:rPr>
        <w:tab/>
        <w:t xml:space="preserve"> hari ghanesia pratiwi, putri delyana; rokhmiati, eka; istiani, “HUBUNGAN UMUR DAN JENIS KELAMIN DENGAN RISIKO PENYAKIT TIDAK MENULAR ( PTM ) BERDASARKAN DATA SKRINING KESEHATAN BPJS JAKARTA SELATAN TAHUN 2022 LATAR BELAKANG Saat ini , dunia sedang menghadapi transisi epidemiologis , perubahan gambaran klinis dari peny,” </w:t>
      </w:r>
      <w:r w:rsidRPr="00CE56BB">
        <w:rPr>
          <w:rFonts w:ascii="Times New Roman" w:hAnsi="Times New Roman"/>
          <w:i/>
          <w:iCs/>
          <w:noProof/>
          <w:sz w:val="24"/>
          <w:szCs w:val="28"/>
        </w:rPr>
        <w:lastRenderedPageBreak/>
        <w:t>CENDEKIA UTAMA J. Keperawatan dan Kesehat. Masy.</w:t>
      </w:r>
      <w:r w:rsidRPr="00CE56BB">
        <w:rPr>
          <w:rFonts w:ascii="Times New Roman" w:hAnsi="Times New Roman"/>
          <w:noProof/>
          <w:sz w:val="24"/>
          <w:szCs w:val="28"/>
        </w:rPr>
        <w:t>, vol. 13, no. 1, pp. 32–43, 2024, [Online]. Available: https://jurnal.stikescendekiautamakudus.ac.id/index.php/stikes/article/view/1460/536</w:t>
      </w:r>
    </w:p>
    <w:p w14:paraId="29873EB2"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[12]</w:t>
      </w:r>
      <w:r w:rsidRPr="00CE56BB">
        <w:rPr>
          <w:rFonts w:ascii="Times New Roman" w:hAnsi="Times New Roman"/>
          <w:noProof/>
          <w:sz w:val="24"/>
          <w:szCs w:val="28"/>
        </w:rPr>
        <w:tab/>
        <w:t>T. Rahmatullah, “Hubungan Komunikasi Terapeutik Perawat dengan Mutu Pleyanan Keperawatan di Ruang Rawat Inap Kelas I RS Bhayangkara Bondowoso,” UNIVERSITAS dr. SOEBANDI, 2025. [Online]. Available: https://repo.uds.ac.id/id/eprint/2043/1/23102320 Tiari Rahmatullah.pdf</w:t>
      </w:r>
    </w:p>
    <w:p w14:paraId="447CEB63"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[13]</w:t>
      </w:r>
      <w:r w:rsidRPr="00CE56BB">
        <w:rPr>
          <w:rFonts w:ascii="Times New Roman" w:hAnsi="Times New Roman"/>
          <w:noProof/>
          <w:sz w:val="24"/>
          <w:szCs w:val="28"/>
        </w:rPr>
        <w:tab/>
        <w:t xml:space="preserve">D. Kurniasari, P. R. Rumondang, M. Steffi, N. Sabatini, R. Sakit, and I. Solo, “RUMAH SAKIT INDRIATI SOLO BARU THE IMPACT OF THERAPEUTIC COMMUNICATIONS ON THE END OF SERVICE IN THE HEMODIALYSIS ROOM OF THE NEW SINGLE-MINDED HOSPITAL,” </w:t>
      </w:r>
      <w:r w:rsidRPr="00CE56BB">
        <w:rPr>
          <w:rFonts w:ascii="Times New Roman" w:hAnsi="Times New Roman"/>
          <w:i/>
          <w:iCs/>
          <w:noProof/>
          <w:sz w:val="24"/>
          <w:szCs w:val="28"/>
        </w:rPr>
        <w:t>J. SURYA MUDA</w:t>
      </w:r>
      <w:r w:rsidRPr="00CE56BB">
        <w:rPr>
          <w:rFonts w:ascii="Times New Roman" w:hAnsi="Times New Roman"/>
          <w:noProof/>
          <w:sz w:val="24"/>
          <w:szCs w:val="28"/>
        </w:rPr>
        <w:t>, vol. 6, no. 1, 2024, [Online]. Available: https://journals.umkaba.ac.id/index.php/jsm/article/view/174/133</w:t>
      </w:r>
    </w:p>
    <w:p w14:paraId="075EFBB3"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[14]</w:t>
      </w:r>
      <w:r w:rsidRPr="00CE56BB">
        <w:rPr>
          <w:rFonts w:ascii="Times New Roman" w:hAnsi="Times New Roman"/>
          <w:noProof/>
          <w:sz w:val="24"/>
          <w:szCs w:val="28"/>
        </w:rPr>
        <w:tab/>
        <w:t xml:space="preserve">H. M. Agil, T. Rohman, and R. Santosa, “Hubungan Komunikasi Terapeutik Perawat dengan Tingkat Kepuasan Pasien Rawat Inap di Ruang Bung Karno RSU Proklamasi Rengasdengklok,” </w:t>
      </w:r>
      <w:r w:rsidRPr="00CE56BB">
        <w:rPr>
          <w:rFonts w:ascii="Times New Roman" w:hAnsi="Times New Roman"/>
          <w:i/>
          <w:iCs/>
          <w:noProof/>
          <w:sz w:val="24"/>
          <w:szCs w:val="28"/>
        </w:rPr>
        <w:t>J. Bid. Ilmu Kesehat.</w:t>
      </w:r>
      <w:r w:rsidRPr="00CE56BB">
        <w:rPr>
          <w:rFonts w:ascii="Times New Roman" w:hAnsi="Times New Roman"/>
          <w:noProof/>
          <w:sz w:val="24"/>
          <w:szCs w:val="28"/>
        </w:rPr>
        <w:t>, vol. 12, no. 1, pp. 83–93, 2022, [Online]. Available: https://ejournal.urindo.ac.id/index.php/kesehatan/article/view/2024/1007</w:t>
      </w:r>
    </w:p>
    <w:p w14:paraId="61EAC77C"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8"/>
        </w:rPr>
      </w:pPr>
      <w:r w:rsidRPr="00CE56BB">
        <w:rPr>
          <w:rFonts w:ascii="Times New Roman" w:hAnsi="Times New Roman"/>
          <w:noProof/>
          <w:sz w:val="24"/>
          <w:szCs w:val="28"/>
        </w:rPr>
        <w:t>[15]</w:t>
      </w:r>
      <w:r w:rsidRPr="00CE56BB">
        <w:rPr>
          <w:rFonts w:ascii="Times New Roman" w:hAnsi="Times New Roman"/>
          <w:noProof/>
          <w:sz w:val="24"/>
          <w:szCs w:val="28"/>
        </w:rPr>
        <w:tab/>
        <w:t xml:space="preserve">Suryani, </w:t>
      </w:r>
      <w:r w:rsidRPr="00CE56BB">
        <w:rPr>
          <w:rFonts w:ascii="Times New Roman" w:hAnsi="Times New Roman"/>
          <w:i/>
          <w:iCs/>
          <w:noProof/>
          <w:sz w:val="24"/>
          <w:szCs w:val="28"/>
        </w:rPr>
        <w:t>Komunikasi Terapeutik: Teori dan Praktik Edisi 2</w:t>
      </w:r>
      <w:r w:rsidRPr="00CE56BB">
        <w:rPr>
          <w:rFonts w:ascii="Times New Roman" w:hAnsi="Times New Roman"/>
          <w:noProof/>
          <w:sz w:val="24"/>
          <w:szCs w:val="28"/>
        </w:rPr>
        <w:t>, 2nd ed. Jakarta: EGC, 2016.</w:t>
      </w:r>
    </w:p>
    <w:p w14:paraId="06F3C880" w14:textId="77777777" w:rsidR="00CE56BB" w:rsidRPr="00CE56BB" w:rsidRDefault="00CE56BB" w:rsidP="00A37DCD">
      <w:pPr>
        <w:widowControl w:val="0"/>
        <w:autoSpaceDE w:val="0"/>
        <w:autoSpaceDN w:val="0"/>
        <w:adjustRightInd w:val="0"/>
        <w:spacing w:after="0" w:line="360" w:lineRule="auto"/>
        <w:ind w:left="640" w:hanging="640"/>
        <w:jc w:val="both"/>
        <w:rPr>
          <w:rFonts w:ascii="Times New Roman" w:hAnsi="Times New Roman"/>
          <w:noProof/>
          <w:sz w:val="24"/>
          <w:szCs w:val="24"/>
        </w:rPr>
      </w:pPr>
      <w:r w:rsidRPr="00CE56BB">
        <w:rPr>
          <w:rFonts w:ascii="Times New Roman" w:hAnsi="Times New Roman"/>
          <w:noProof/>
          <w:sz w:val="24"/>
          <w:szCs w:val="28"/>
        </w:rPr>
        <w:t>[16]</w:t>
      </w:r>
      <w:r w:rsidRPr="00CE56BB">
        <w:rPr>
          <w:rFonts w:ascii="Times New Roman" w:hAnsi="Times New Roman"/>
          <w:noProof/>
          <w:sz w:val="24"/>
          <w:szCs w:val="28"/>
        </w:rPr>
        <w:tab/>
        <w:t xml:space="preserve">M. M. Mamesah, R. A. Geonarso, and A. Kurniawan, “HUBUNGAN KOMUNIKASI EFEKTIF DENGAN MUTU PELAYANAN KESEHATAN DI RUMAH SAKIT,” </w:t>
      </w:r>
      <w:r w:rsidRPr="00CE56BB">
        <w:rPr>
          <w:rFonts w:ascii="Times New Roman" w:hAnsi="Times New Roman"/>
          <w:i/>
          <w:iCs/>
          <w:noProof/>
          <w:sz w:val="24"/>
          <w:szCs w:val="28"/>
        </w:rPr>
        <w:t>J. Hosp. Adm. andManagement</w:t>
      </w:r>
      <w:r w:rsidRPr="00CE56BB">
        <w:rPr>
          <w:rFonts w:ascii="Times New Roman" w:hAnsi="Times New Roman"/>
          <w:noProof/>
          <w:sz w:val="24"/>
          <w:szCs w:val="28"/>
        </w:rPr>
        <w:t>, vol. 1, no. 2, pp. 23–28, 2020, doi: https://doi.org/10.54973/jham.v1i2.101.</w:t>
      </w:r>
    </w:p>
    <w:p w14:paraId="4F1ECA9F" w14:textId="3F634C93" w:rsidR="004C6F00" w:rsidRDefault="00CE56BB" w:rsidP="00A37DCD">
      <w:pPr>
        <w:spacing w:after="0" w:line="360" w:lineRule="auto"/>
        <w:jc w:val="both"/>
        <w:rPr>
          <w:rFonts w:ascii="Times New Roman" w:hAnsi="Times New Roman"/>
          <w:lang w:eastAsia="id-ID"/>
        </w:rPr>
      </w:pPr>
      <w:r w:rsidRPr="00CE56BB">
        <w:rPr>
          <w:rFonts w:ascii="Times New Roman" w:hAnsi="Times New Roman"/>
          <w:sz w:val="24"/>
          <w:szCs w:val="24"/>
          <w:lang w:eastAsia="id-ID"/>
        </w:rPr>
        <w:fldChar w:fldCharType="end"/>
      </w:r>
    </w:p>
    <w:p w14:paraId="5CF5C345" w14:textId="77777777" w:rsidR="001559E4" w:rsidRDefault="001559E4" w:rsidP="001559E4">
      <w:pPr>
        <w:spacing w:after="0" w:line="360" w:lineRule="auto"/>
        <w:jc w:val="both"/>
        <w:rPr>
          <w:rFonts w:ascii="Times New Roman" w:hAnsi="Times New Roman"/>
          <w:lang w:eastAsia="id-ID"/>
        </w:rPr>
      </w:pPr>
    </w:p>
    <w:p w14:paraId="5B512593" w14:textId="77777777" w:rsidR="001559E4" w:rsidRDefault="001559E4" w:rsidP="001559E4">
      <w:pPr>
        <w:spacing w:after="0" w:line="360" w:lineRule="auto"/>
        <w:jc w:val="both"/>
        <w:rPr>
          <w:rFonts w:ascii="Times New Roman" w:hAnsi="Times New Roman"/>
          <w:lang w:eastAsia="id-ID"/>
        </w:rPr>
      </w:pPr>
    </w:p>
    <w:p w14:paraId="4CCD6AF0" w14:textId="77777777" w:rsidR="001559E4" w:rsidRDefault="001559E4" w:rsidP="001559E4">
      <w:pPr>
        <w:spacing w:after="0" w:line="360" w:lineRule="auto"/>
        <w:jc w:val="both"/>
        <w:rPr>
          <w:rFonts w:ascii="Times New Roman" w:hAnsi="Times New Roman"/>
          <w:lang w:eastAsia="id-ID"/>
        </w:rPr>
      </w:pPr>
    </w:p>
    <w:sectPr w:rsidR="001559E4" w:rsidSect="00115E24">
      <w:headerReference w:type="even" r:id="rId8"/>
      <w:headerReference w:type="default" r:id="rId9"/>
      <w:footerReference w:type="even" r:id="rId10"/>
      <w:footerReference w:type="default" r:id="rId11"/>
      <w:pgSz w:w="11906" w:h="16838" w:code="9"/>
      <w:pgMar w:top="2520" w:right="1440" w:bottom="1440" w:left="1800" w:header="0" w:footer="0" w:gutter="0"/>
      <w:pgNumType w:start="245"/>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DD74E" w14:textId="77777777" w:rsidR="00983DCF" w:rsidRDefault="00983DCF" w:rsidP="0035118B">
      <w:pPr>
        <w:spacing w:after="0" w:line="240" w:lineRule="auto"/>
      </w:pPr>
      <w:r>
        <w:separator/>
      </w:r>
    </w:p>
  </w:endnote>
  <w:endnote w:type="continuationSeparator" w:id="0">
    <w:p w14:paraId="6062B6EE" w14:textId="77777777" w:rsidR="00983DCF" w:rsidRDefault="00983DCF" w:rsidP="00351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258433580"/>
      <w:docPartObj>
        <w:docPartGallery w:val="Page Numbers (Bottom of Page)"/>
        <w:docPartUnique/>
      </w:docPartObj>
    </w:sdtPr>
    <w:sdtContent>
      <w:p w14:paraId="51BB035D" w14:textId="77777777" w:rsidR="00F2531D" w:rsidRPr="00BE5371" w:rsidRDefault="00822962">
        <w:pPr>
          <w:pStyle w:val="Footer"/>
          <w:rPr>
            <w:rFonts w:ascii="Times New Roman" w:hAnsi="Times New Roman"/>
          </w:rPr>
        </w:pPr>
        <w:r w:rsidRPr="00BE5371">
          <w:rPr>
            <w:rFonts w:ascii="Times New Roman" w:hAnsi="Times New Roman"/>
          </w:rPr>
          <w:fldChar w:fldCharType="begin"/>
        </w:r>
        <w:r w:rsidRPr="00BE5371">
          <w:rPr>
            <w:rFonts w:ascii="Times New Roman" w:hAnsi="Times New Roman"/>
          </w:rPr>
          <w:instrText xml:space="preserve"> PAGE   \* MERGEFORMAT </w:instrText>
        </w:r>
        <w:r w:rsidRPr="00BE5371">
          <w:rPr>
            <w:rFonts w:ascii="Times New Roman" w:hAnsi="Times New Roman"/>
          </w:rPr>
          <w:fldChar w:fldCharType="separate"/>
        </w:r>
        <w:r w:rsidR="00A37DCD">
          <w:rPr>
            <w:rFonts w:ascii="Times New Roman" w:hAnsi="Times New Roman"/>
            <w:noProof/>
          </w:rPr>
          <w:t>254</w:t>
        </w:r>
        <w:r w:rsidRPr="00BE5371">
          <w:rPr>
            <w:rFonts w:ascii="Times New Roman" w:hAnsi="Times New Roman"/>
            <w:noProof/>
          </w:rPr>
          <w:fldChar w:fldCharType="end"/>
        </w:r>
      </w:p>
    </w:sdtContent>
  </w:sdt>
  <w:p w14:paraId="0E7CD70A" w14:textId="77777777" w:rsidR="004E3D20" w:rsidRDefault="004E3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433579"/>
      <w:docPartObj>
        <w:docPartGallery w:val="Page Numbers (Bottom of Page)"/>
        <w:docPartUnique/>
      </w:docPartObj>
    </w:sdtPr>
    <w:sdtContent>
      <w:p w14:paraId="7F5490CA" w14:textId="77777777" w:rsidR="00F2531D" w:rsidRDefault="00822962">
        <w:pPr>
          <w:pStyle w:val="Footer"/>
          <w:jc w:val="right"/>
        </w:pPr>
        <w:r>
          <w:fldChar w:fldCharType="begin"/>
        </w:r>
        <w:r>
          <w:instrText xml:space="preserve"> PAGE   \* MERGEFORMAT </w:instrText>
        </w:r>
        <w:r>
          <w:fldChar w:fldCharType="separate"/>
        </w:r>
        <w:r w:rsidR="00A37DCD">
          <w:rPr>
            <w:noProof/>
          </w:rPr>
          <w:t>253</w:t>
        </w:r>
        <w:r>
          <w:rPr>
            <w:noProof/>
          </w:rPr>
          <w:fldChar w:fldCharType="end"/>
        </w:r>
      </w:p>
    </w:sdtContent>
  </w:sdt>
  <w:p w14:paraId="6A438134" w14:textId="77777777" w:rsidR="007D0101" w:rsidRDefault="007D0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7F247" w14:textId="77777777" w:rsidR="00983DCF" w:rsidRDefault="00983DCF" w:rsidP="0035118B">
      <w:pPr>
        <w:spacing w:after="0" w:line="240" w:lineRule="auto"/>
      </w:pPr>
      <w:r>
        <w:separator/>
      </w:r>
    </w:p>
  </w:footnote>
  <w:footnote w:type="continuationSeparator" w:id="0">
    <w:p w14:paraId="5285C924" w14:textId="77777777" w:rsidR="00983DCF" w:rsidRDefault="00983DCF" w:rsidP="00351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75E0" w14:textId="77777777" w:rsidR="007D0101" w:rsidRDefault="007D0101" w:rsidP="00416C09">
    <w:pPr>
      <w:pStyle w:val="Header"/>
      <w:spacing w:after="0" w:line="240" w:lineRule="auto"/>
      <w:jc w:val="right"/>
      <w:rPr>
        <w:rFonts w:ascii="Times New Roman" w:hAnsi="Times New Roman"/>
        <w:b/>
      </w:rPr>
    </w:pPr>
  </w:p>
  <w:tbl>
    <w:tblPr>
      <w:tblW w:w="7830" w:type="dxa"/>
      <w:tblInd w:w="108" w:type="dxa"/>
      <w:tblLook w:val="04A0" w:firstRow="1" w:lastRow="0" w:firstColumn="1" w:lastColumn="0" w:noHBand="0" w:noVBand="1"/>
    </w:tblPr>
    <w:tblGrid>
      <w:gridCol w:w="1440"/>
      <w:gridCol w:w="6390"/>
    </w:tblGrid>
    <w:tr w:rsidR="00D93C2E" w:rsidRPr="00FD23F0" w14:paraId="3B3CF1A3" w14:textId="77777777" w:rsidTr="00B4201A">
      <w:trPr>
        <w:trHeight w:val="1719"/>
      </w:trPr>
      <w:tc>
        <w:tcPr>
          <w:tcW w:w="1440" w:type="dxa"/>
        </w:tcPr>
        <w:p w14:paraId="3496EF23" w14:textId="77777777" w:rsidR="00B4201A" w:rsidRDefault="00B4201A" w:rsidP="00323C8F">
          <w:pPr>
            <w:pStyle w:val="Header"/>
            <w:tabs>
              <w:tab w:val="center" w:pos="6552"/>
            </w:tabs>
            <w:rPr>
              <w:szCs w:val="20"/>
              <w:lang w:val="en-US"/>
            </w:rPr>
          </w:pPr>
        </w:p>
        <w:p w14:paraId="1D60E69C" w14:textId="77777777" w:rsidR="00D93C2E" w:rsidRPr="00130DF4" w:rsidRDefault="00D93C2E" w:rsidP="00323C8F">
          <w:pPr>
            <w:pStyle w:val="Header"/>
            <w:tabs>
              <w:tab w:val="center" w:pos="6552"/>
            </w:tabs>
            <w:rPr>
              <w:rFonts w:ascii="Times New Roman" w:hAnsi="Times New Roman"/>
              <w:sz w:val="20"/>
              <w:szCs w:val="20"/>
              <w:lang w:val="en-US"/>
            </w:rPr>
          </w:pPr>
          <w:r>
            <w:rPr>
              <w:rFonts w:ascii="Times New Roman" w:hAnsi="Times New Roman"/>
              <w:b/>
              <w:noProof/>
              <w:sz w:val="24"/>
              <w:lang w:val="en-US"/>
            </w:rPr>
            <w:drawing>
              <wp:inline distT="0" distB="0" distL="0" distR="0" wp14:anchorId="762F8A44" wp14:editId="18D843FF">
                <wp:extent cx="706755" cy="817245"/>
                <wp:effectExtent l="19050" t="0" r="0" b="0"/>
                <wp:docPr id="2" name="Picture 2" descr="D:\GAMBAR KESEHATAN\QA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AMBAR KESEHATAN\QAJI.jpg"/>
                        <pic:cNvPicPr>
                          <a:picLocks noChangeAspect="1" noChangeArrowheads="1"/>
                        </pic:cNvPicPr>
                      </pic:nvPicPr>
                      <pic:blipFill>
                        <a:blip r:embed="rId1"/>
                        <a:srcRect/>
                        <a:stretch>
                          <a:fillRect/>
                        </a:stretch>
                      </pic:blipFill>
                      <pic:spPr bwMode="auto">
                        <a:xfrm>
                          <a:off x="0" y="0"/>
                          <a:ext cx="706755" cy="817245"/>
                        </a:xfrm>
                        <a:prstGeom prst="rect">
                          <a:avLst/>
                        </a:prstGeom>
                        <a:noFill/>
                        <a:ln w="9525">
                          <a:noFill/>
                          <a:miter lim="800000"/>
                          <a:headEnd/>
                          <a:tailEnd/>
                        </a:ln>
                      </pic:spPr>
                    </pic:pic>
                  </a:graphicData>
                </a:graphic>
              </wp:inline>
            </w:drawing>
          </w:r>
          <w:r>
            <w:rPr>
              <w:szCs w:val="20"/>
              <w:lang w:val="en-US"/>
            </w:rPr>
            <w:t xml:space="preserve"> </w:t>
          </w:r>
        </w:p>
      </w:tc>
      <w:tc>
        <w:tcPr>
          <w:tcW w:w="6390" w:type="dxa"/>
        </w:tcPr>
        <w:p w14:paraId="297BC0CC" w14:textId="77777777" w:rsidR="00B4201A" w:rsidRDefault="00B4201A" w:rsidP="00D93C2E">
          <w:pPr>
            <w:pStyle w:val="Header"/>
            <w:tabs>
              <w:tab w:val="center" w:pos="6750"/>
            </w:tabs>
            <w:spacing w:after="0" w:line="240" w:lineRule="auto"/>
            <w:rPr>
              <w:rFonts w:ascii="Times New Roman" w:hAnsi="Times New Roman"/>
              <w:b/>
              <w:i/>
              <w:sz w:val="20"/>
              <w:szCs w:val="20"/>
              <w:lang w:val="en-US"/>
            </w:rPr>
          </w:pPr>
        </w:p>
        <w:p w14:paraId="0BA00896" w14:textId="77777777" w:rsidR="00B4201A" w:rsidRDefault="00B4201A" w:rsidP="00D93C2E">
          <w:pPr>
            <w:pStyle w:val="Header"/>
            <w:tabs>
              <w:tab w:val="center" w:pos="6750"/>
            </w:tabs>
            <w:spacing w:after="0" w:line="240" w:lineRule="auto"/>
            <w:rPr>
              <w:rFonts w:ascii="Times New Roman" w:hAnsi="Times New Roman"/>
              <w:b/>
              <w:i/>
              <w:sz w:val="20"/>
              <w:szCs w:val="20"/>
              <w:lang w:val="en-US"/>
            </w:rPr>
          </w:pPr>
        </w:p>
        <w:p w14:paraId="157617FE" w14:textId="77777777" w:rsidR="00B4201A" w:rsidRDefault="00B4201A" w:rsidP="00D93C2E">
          <w:pPr>
            <w:pStyle w:val="Header"/>
            <w:tabs>
              <w:tab w:val="center" w:pos="6750"/>
            </w:tabs>
            <w:spacing w:after="0" w:line="240" w:lineRule="auto"/>
            <w:rPr>
              <w:rFonts w:ascii="Times New Roman" w:hAnsi="Times New Roman"/>
              <w:b/>
              <w:i/>
              <w:sz w:val="20"/>
              <w:szCs w:val="20"/>
              <w:lang w:val="en-US"/>
            </w:rPr>
          </w:pPr>
        </w:p>
        <w:p w14:paraId="004C0932" w14:textId="77777777" w:rsidR="001559E4" w:rsidRPr="001559E4" w:rsidRDefault="001559E4" w:rsidP="001559E4">
          <w:pPr>
            <w:spacing w:after="0" w:line="240" w:lineRule="auto"/>
            <w:jc w:val="both"/>
            <w:rPr>
              <w:rFonts w:ascii="Times New Roman" w:hAnsi="Times New Roman"/>
              <w:b/>
              <w:bCs/>
              <w:color w:val="000000"/>
              <w:sz w:val="24"/>
              <w:szCs w:val="28"/>
              <w:lang w:eastAsia="id-ID"/>
            </w:rPr>
          </w:pPr>
          <w:r w:rsidRPr="001559E4">
            <w:rPr>
              <w:rFonts w:ascii="Times New Roman" w:hAnsi="Times New Roman"/>
              <w:b/>
              <w:bCs/>
              <w:color w:val="000000"/>
              <w:sz w:val="24"/>
              <w:szCs w:val="28"/>
              <w:lang w:eastAsia="id-ID"/>
            </w:rPr>
            <w:t>Correlating Nurses’ Therapeutic Communication Efeectiveness with Inpatient Services Quality: Patient Perceptions at Hospital X, Kota Kediri</w:t>
          </w:r>
        </w:p>
        <w:p w14:paraId="00098661" w14:textId="77777777" w:rsidR="001559E4" w:rsidRPr="00BE5371" w:rsidRDefault="001559E4" w:rsidP="001559E4">
          <w:pPr>
            <w:spacing w:after="0" w:line="240" w:lineRule="auto"/>
            <w:jc w:val="both"/>
            <w:rPr>
              <w:rFonts w:ascii="Times New Roman" w:hAnsi="Times New Roman"/>
              <w:b/>
              <w:bCs/>
              <w:color w:val="000000"/>
              <w:lang w:eastAsia="id-ID"/>
            </w:rPr>
          </w:pPr>
        </w:p>
        <w:p w14:paraId="07F8B30E" w14:textId="0FD70AB6" w:rsidR="001559E4" w:rsidRPr="001559E4" w:rsidRDefault="001559E4" w:rsidP="001559E4">
          <w:pPr>
            <w:spacing w:after="0" w:line="240" w:lineRule="auto"/>
            <w:jc w:val="both"/>
            <w:rPr>
              <w:rFonts w:ascii="Times New Roman" w:hAnsi="Times New Roman"/>
              <w:b/>
              <w:bCs/>
              <w:color w:val="000000"/>
              <w:sz w:val="20"/>
              <w:vertAlign w:val="superscript"/>
              <w:lang w:eastAsia="id-ID"/>
            </w:rPr>
          </w:pPr>
          <w:r w:rsidRPr="001559E4">
            <w:rPr>
              <w:rFonts w:ascii="Times New Roman" w:hAnsi="Times New Roman"/>
              <w:b/>
              <w:bCs/>
              <w:color w:val="000000"/>
              <w:sz w:val="20"/>
              <w:lang w:eastAsia="id-ID"/>
            </w:rPr>
            <w:t>David Raditya Soehartono</w:t>
          </w:r>
          <w:r w:rsidRPr="001559E4">
            <w:rPr>
              <w:rFonts w:ascii="Times New Roman" w:hAnsi="Times New Roman"/>
              <w:b/>
              <w:bCs/>
              <w:color w:val="000000"/>
              <w:sz w:val="20"/>
              <w:vertAlign w:val="superscript"/>
              <w:lang w:eastAsia="id-ID"/>
            </w:rPr>
            <w:t>1)*</w:t>
          </w:r>
          <w:r w:rsidRPr="001559E4">
            <w:rPr>
              <w:rFonts w:ascii="Times New Roman" w:hAnsi="Times New Roman"/>
              <w:b/>
              <w:bCs/>
              <w:color w:val="000000"/>
              <w:sz w:val="20"/>
              <w:lang w:eastAsia="id-ID"/>
            </w:rPr>
            <w:t>, Salmaqonita Khusnul Irvani Sari</w:t>
          </w:r>
          <w:r w:rsidRPr="001559E4">
            <w:rPr>
              <w:rFonts w:ascii="Times New Roman" w:hAnsi="Times New Roman"/>
              <w:b/>
              <w:bCs/>
              <w:color w:val="000000"/>
              <w:sz w:val="20"/>
              <w:vertAlign w:val="superscript"/>
              <w:lang w:eastAsia="id-ID"/>
            </w:rPr>
            <w:t>2</w:t>
          </w:r>
          <w:r w:rsidRPr="001559E4">
            <w:rPr>
              <w:rFonts w:ascii="Times New Roman" w:hAnsi="Times New Roman"/>
              <w:b/>
              <w:bCs/>
              <w:color w:val="000000"/>
              <w:sz w:val="20"/>
              <w:lang w:eastAsia="id-ID"/>
            </w:rPr>
            <w:t>, Sahat Manampin Siahaan</w:t>
          </w:r>
          <w:r w:rsidRPr="001559E4">
            <w:rPr>
              <w:rFonts w:ascii="Times New Roman" w:hAnsi="Times New Roman"/>
              <w:b/>
              <w:bCs/>
              <w:color w:val="000000"/>
              <w:sz w:val="20"/>
              <w:vertAlign w:val="superscript"/>
              <w:lang w:eastAsia="id-ID"/>
            </w:rPr>
            <w:t>3</w:t>
          </w:r>
          <w:r w:rsidRPr="001559E4">
            <w:rPr>
              <w:rFonts w:ascii="Times New Roman" w:hAnsi="Times New Roman"/>
              <w:b/>
              <w:bCs/>
              <w:color w:val="000000"/>
              <w:sz w:val="20"/>
              <w:lang w:eastAsia="id-ID"/>
            </w:rPr>
            <w:t>, Safari Hasan</w:t>
          </w:r>
          <w:r w:rsidRPr="001559E4">
            <w:rPr>
              <w:rFonts w:ascii="Times New Roman" w:hAnsi="Times New Roman"/>
              <w:b/>
              <w:bCs/>
              <w:color w:val="000000"/>
              <w:sz w:val="20"/>
              <w:vertAlign w:val="superscript"/>
              <w:lang w:eastAsia="id-ID"/>
            </w:rPr>
            <w:t>4</w:t>
          </w:r>
          <w:r w:rsidRPr="001559E4">
            <w:rPr>
              <w:rFonts w:ascii="Times New Roman" w:hAnsi="Times New Roman"/>
              <w:b/>
              <w:bCs/>
              <w:color w:val="000000"/>
              <w:sz w:val="20"/>
              <w:lang w:eastAsia="id-ID"/>
            </w:rPr>
            <w:t>, Agus Sulistiawan</w:t>
          </w:r>
          <w:r w:rsidRPr="001559E4">
            <w:rPr>
              <w:rFonts w:ascii="Times New Roman" w:hAnsi="Times New Roman"/>
              <w:b/>
              <w:bCs/>
              <w:color w:val="000000"/>
              <w:sz w:val="20"/>
              <w:vertAlign w:val="superscript"/>
              <w:lang w:eastAsia="id-ID"/>
            </w:rPr>
            <w:t>5</w:t>
          </w:r>
          <w:r w:rsidRPr="001559E4">
            <w:rPr>
              <w:rFonts w:ascii="Times New Roman" w:hAnsi="Times New Roman"/>
              <w:b/>
              <w:bCs/>
              <w:color w:val="000000"/>
              <w:sz w:val="20"/>
              <w:lang w:eastAsia="id-ID"/>
            </w:rPr>
            <w:t>, Anggraini Dyah Setiyarini</w:t>
          </w:r>
          <w:r w:rsidRPr="001559E4">
            <w:rPr>
              <w:rFonts w:ascii="Times New Roman" w:hAnsi="Times New Roman"/>
              <w:b/>
              <w:bCs/>
              <w:color w:val="000000"/>
              <w:sz w:val="20"/>
              <w:vertAlign w:val="superscript"/>
              <w:lang w:eastAsia="id-ID"/>
            </w:rPr>
            <w:t>6</w:t>
          </w:r>
        </w:p>
        <w:p w14:paraId="7D297A12" w14:textId="6AF9E51A" w:rsidR="00D93C2E" w:rsidRPr="00FD23F0" w:rsidRDefault="001559E4" w:rsidP="001559E4">
          <w:pPr>
            <w:pStyle w:val="Header"/>
            <w:spacing w:after="0" w:line="240" w:lineRule="auto"/>
            <w:jc w:val="both"/>
            <w:rPr>
              <w:rFonts w:ascii="Times New Roman" w:hAnsi="Times New Roman"/>
              <w:sz w:val="20"/>
              <w:szCs w:val="20"/>
              <w:lang w:val="en-US"/>
            </w:rPr>
          </w:pPr>
          <w:r w:rsidRPr="001559E4">
            <w:rPr>
              <w:rFonts w:ascii="Times New Roman" w:hAnsi="Times New Roman"/>
              <w:color w:val="000000"/>
              <w:sz w:val="20"/>
              <w:vertAlign w:val="superscript"/>
              <w:lang w:eastAsia="id-ID"/>
            </w:rPr>
            <w:t>1</w:t>
          </w:r>
          <w:r w:rsidRPr="001559E4">
            <w:rPr>
              <w:rFonts w:ascii="Times New Roman" w:hAnsi="Times New Roman"/>
              <w:color w:val="000000"/>
              <w:sz w:val="20"/>
              <w:vertAlign w:val="superscript"/>
              <w:lang w:val="en-US" w:eastAsia="id-ID"/>
            </w:rPr>
            <w:t>-6</w:t>
          </w:r>
          <w:r w:rsidRPr="001559E4">
            <w:rPr>
              <w:rFonts w:ascii="Times New Roman" w:hAnsi="Times New Roman"/>
              <w:color w:val="000000"/>
              <w:sz w:val="20"/>
              <w:lang w:eastAsia="id-ID"/>
            </w:rPr>
            <w:t>Institut Ilmu Kesehatan Bhakti Wiyata Kediri</w:t>
          </w:r>
        </w:p>
      </w:tc>
    </w:tr>
  </w:tbl>
  <w:p w14:paraId="2C0EBFAD" w14:textId="77777777" w:rsidR="007D0101" w:rsidRPr="00D93C2E" w:rsidRDefault="007D0101" w:rsidP="00766B8D">
    <w:pPr>
      <w:pStyle w:val="Header"/>
      <w:spacing w:after="0" w:line="240" w:lineRule="auto"/>
      <w:rPr>
        <w:rFonts w:ascii="Times New Roman" w:hAnsi="Times New Roman"/>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DF9B" w14:textId="77777777" w:rsidR="007D0101" w:rsidRDefault="007D0101" w:rsidP="005A18B3">
    <w:pPr>
      <w:pStyle w:val="Header"/>
      <w:spacing w:after="0" w:line="240" w:lineRule="auto"/>
      <w:jc w:val="right"/>
      <w:rPr>
        <w:rFonts w:ascii="Times New Roman" w:hAnsi="Times New Roman"/>
        <w:b/>
      </w:rPr>
    </w:pPr>
  </w:p>
  <w:tbl>
    <w:tblPr>
      <w:tblW w:w="8748" w:type="dxa"/>
      <w:tblLook w:val="04A0" w:firstRow="1" w:lastRow="0" w:firstColumn="1" w:lastColumn="0" w:noHBand="0" w:noVBand="1"/>
    </w:tblPr>
    <w:tblGrid>
      <w:gridCol w:w="6948"/>
      <w:gridCol w:w="1800"/>
    </w:tblGrid>
    <w:tr w:rsidR="00D93C2E" w:rsidRPr="00FD23F0" w14:paraId="4DCCF837" w14:textId="77777777" w:rsidTr="00D93C2E">
      <w:trPr>
        <w:trHeight w:val="1809"/>
      </w:trPr>
      <w:tc>
        <w:tcPr>
          <w:tcW w:w="6948" w:type="dxa"/>
        </w:tcPr>
        <w:p w14:paraId="369718B9" w14:textId="77777777" w:rsidR="00D93C2E" w:rsidRDefault="00D93C2E" w:rsidP="00D93C2E">
          <w:pPr>
            <w:pStyle w:val="Header"/>
            <w:spacing w:after="0" w:line="240" w:lineRule="auto"/>
            <w:jc w:val="right"/>
            <w:rPr>
              <w:rFonts w:ascii="Times New Roman" w:hAnsi="Times New Roman"/>
              <w:b/>
              <w:sz w:val="24"/>
              <w:lang w:val="en-US"/>
            </w:rPr>
          </w:pPr>
        </w:p>
        <w:p w14:paraId="5D9C3BC2" w14:textId="77777777" w:rsidR="00D93C2E" w:rsidRDefault="00D93C2E" w:rsidP="00D93C2E">
          <w:pPr>
            <w:pStyle w:val="Header"/>
            <w:spacing w:after="0" w:line="240" w:lineRule="auto"/>
            <w:jc w:val="right"/>
            <w:rPr>
              <w:rFonts w:ascii="Times New Roman" w:hAnsi="Times New Roman"/>
              <w:b/>
              <w:sz w:val="24"/>
              <w:lang w:val="en-US"/>
            </w:rPr>
          </w:pPr>
        </w:p>
        <w:p w14:paraId="4DAD776A" w14:textId="77777777" w:rsidR="00D93C2E" w:rsidRPr="00410291" w:rsidRDefault="00D93C2E" w:rsidP="00D93C2E">
          <w:pPr>
            <w:pStyle w:val="Header"/>
            <w:spacing w:after="0" w:line="240" w:lineRule="auto"/>
            <w:jc w:val="right"/>
            <w:rPr>
              <w:rFonts w:ascii="Times New Roman" w:hAnsi="Times New Roman"/>
              <w:b/>
              <w:sz w:val="24"/>
              <w:lang w:val="en-US"/>
            </w:rPr>
          </w:pPr>
          <w:hyperlink r:id="rId1" w:history="1">
            <w:r w:rsidRPr="00417AB5">
              <w:rPr>
                <w:rStyle w:val="Hyperlink"/>
                <w:rFonts w:ascii="Times New Roman" w:hAnsi="Times New Roman"/>
                <w:b/>
                <w:sz w:val="24"/>
              </w:rPr>
              <w:t>http://ejournal.unitomo.ac.id/index.php/jhest</w:t>
            </w:r>
          </w:hyperlink>
        </w:p>
        <w:p w14:paraId="12CAF39A" w14:textId="77777777" w:rsidR="00D93C2E" w:rsidRPr="00410291" w:rsidRDefault="00D93C2E" w:rsidP="00D93C2E">
          <w:pPr>
            <w:pStyle w:val="Header"/>
            <w:spacing w:after="0" w:line="240" w:lineRule="auto"/>
            <w:jc w:val="right"/>
            <w:rPr>
              <w:rFonts w:ascii="Times New Roman" w:hAnsi="Times New Roman"/>
              <w:b/>
              <w:sz w:val="24"/>
              <w:lang w:val="en-US"/>
            </w:rPr>
          </w:pPr>
          <w:r w:rsidRPr="00410291">
            <w:rPr>
              <w:rFonts w:ascii="Times New Roman" w:hAnsi="Times New Roman"/>
              <w:b/>
              <w:sz w:val="24"/>
            </w:rPr>
            <w:t xml:space="preserve">P-ISSN </w:t>
          </w:r>
          <w:r w:rsidRPr="00410291">
            <w:rPr>
              <w:rFonts w:ascii="Times New Roman" w:hAnsi="Times New Roman"/>
              <w:b/>
              <w:sz w:val="24"/>
              <w:lang w:val="en-US"/>
            </w:rPr>
            <w:t>2615</w:t>
          </w:r>
          <w:r w:rsidRPr="00410291">
            <w:rPr>
              <w:rFonts w:ascii="Times New Roman" w:hAnsi="Times New Roman"/>
              <w:b/>
              <w:sz w:val="24"/>
            </w:rPr>
            <w:t>-</w:t>
          </w:r>
          <w:r w:rsidRPr="00410291">
            <w:rPr>
              <w:rFonts w:ascii="Times New Roman" w:hAnsi="Times New Roman"/>
              <w:b/>
              <w:sz w:val="24"/>
              <w:lang w:val="en-US"/>
            </w:rPr>
            <w:t>398X</w:t>
          </w:r>
          <w:r w:rsidRPr="00410291">
            <w:rPr>
              <w:rFonts w:ascii="Times New Roman" w:hAnsi="Times New Roman"/>
              <w:b/>
              <w:sz w:val="24"/>
            </w:rPr>
            <w:t xml:space="preserve"> (cetak) / E-ISSN </w:t>
          </w:r>
          <w:r w:rsidRPr="00410291">
            <w:rPr>
              <w:rFonts w:ascii="Times New Roman" w:hAnsi="Times New Roman"/>
              <w:b/>
              <w:sz w:val="24"/>
              <w:lang w:val="en-US"/>
            </w:rPr>
            <w:t>2622</w:t>
          </w:r>
          <w:r w:rsidRPr="00410291">
            <w:rPr>
              <w:rFonts w:ascii="Times New Roman" w:hAnsi="Times New Roman"/>
              <w:b/>
              <w:sz w:val="24"/>
            </w:rPr>
            <w:t>-</w:t>
          </w:r>
          <w:r w:rsidRPr="00410291">
            <w:rPr>
              <w:rFonts w:ascii="Times New Roman" w:hAnsi="Times New Roman"/>
              <w:b/>
              <w:sz w:val="24"/>
              <w:lang w:val="en-US"/>
            </w:rPr>
            <w:t>3600</w:t>
          </w:r>
          <w:r w:rsidRPr="00410291">
            <w:rPr>
              <w:rFonts w:ascii="Times New Roman" w:hAnsi="Times New Roman"/>
              <w:b/>
              <w:sz w:val="24"/>
            </w:rPr>
            <w:t xml:space="preserve"> (on</w:t>
          </w:r>
          <w:r w:rsidRPr="00410291">
            <w:rPr>
              <w:rFonts w:ascii="Times New Roman" w:hAnsi="Times New Roman"/>
              <w:b/>
              <w:sz w:val="24"/>
              <w:lang w:val="en-US"/>
            </w:rPr>
            <w:t>line)</w:t>
          </w:r>
        </w:p>
        <w:p w14:paraId="01766FCC" w14:textId="561167A3" w:rsidR="00BE5371" w:rsidRPr="001559E4" w:rsidRDefault="00931DA0" w:rsidP="00BE5371">
          <w:pPr>
            <w:pStyle w:val="Header"/>
            <w:spacing w:after="0" w:line="240" w:lineRule="auto"/>
            <w:jc w:val="right"/>
            <w:rPr>
              <w:rFonts w:ascii="Times New Roman" w:hAnsi="Times New Roman"/>
              <w:b/>
              <w:szCs w:val="20"/>
              <w:lang w:val="en-US"/>
            </w:rPr>
          </w:pPr>
          <w:r>
            <w:rPr>
              <w:noProof/>
              <w:lang w:val="en-US"/>
            </w:rPr>
            <w:drawing>
              <wp:inline distT="0" distB="0" distL="0" distR="0" wp14:anchorId="3BB559B1" wp14:editId="373E9CCA">
                <wp:extent cx="178435" cy="189865"/>
                <wp:effectExtent l="0" t="0" r="0" b="0"/>
                <wp:docPr id="4" name="Picture 4"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jain.org/files/doi.png"/>
                        <pic:cNvPicPr>
                          <a:picLocks noChangeAspect="1" noChangeArrowheads="1"/>
                        </pic:cNvPicPr>
                      </pic:nvPicPr>
                      <pic:blipFill>
                        <a:blip r:embed="rId2"/>
                        <a:srcRect/>
                        <a:stretch>
                          <a:fillRect/>
                        </a:stretch>
                      </pic:blipFill>
                      <pic:spPr bwMode="auto">
                        <a:xfrm>
                          <a:off x="0" y="0"/>
                          <a:ext cx="178435" cy="189865"/>
                        </a:xfrm>
                        <a:prstGeom prst="rect">
                          <a:avLst/>
                        </a:prstGeom>
                        <a:noFill/>
                        <a:ln w="9525">
                          <a:noFill/>
                          <a:miter lim="800000"/>
                          <a:headEnd/>
                          <a:tailEnd/>
                        </a:ln>
                      </pic:spPr>
                    </pic:pic>
                  </a:graphicData>
                </a:graphic>
              </wp:inline>
            </w:drawing>
          </w:r>
          <w:r w:rsidR="00BE5371">
            <w:rPr>
              <w:rFonts w:ascii="Times New Roman" w:hAnsi="Times New Roman"/>
              <w:b/>
              <w:sz w:val="24"/>
              <w:lang w:val="en-US"/>
            </w:rPr>
            <w:t xml:space="preserve"> </w:t>
          </w:r>
          <w:r w:rsidR="00BE5371" w:rsidRPr="001559E4">
            <w:rPr>
              <w:rFonts w:ascii="Times New Roman" w:hAnsi="Times New Roman"/>
              <w:b/>
              <w:szCs w:val="20"/>
              <w:lang w:val="en-US"/>
            </w:rPr>
            <w:t>https://doi.org/10.25139/htc.v9i1.11994</w:t>
          </w:r>
        </w:p>
        <w:p w14:paraId="37AB8DF2" w14:textId="77777777" w:rsidR="00BE5371" w:rsidRPr="001559E4" w:rsidRDefault="00BE5371" w:rsidP="00BE5371">
          <w:pPr>
            <w:pStyle w:val="Header"/>
            <w:spacing w:after="0" w:line="240" w:lineRule="auto"/>
            <w:jc w:val="right"/>
            <w:rPr>
              <w:rFonts w:ascii="Times New Roman" w:hAnsi="Times New Roman"/>
              <w:szCs w:val="20"/>
              <w:lang w:val="en-US"/>
            </w:rPr>
          </w:pPr>
          <w:r w:rsidRPr="001559E4">
            <w:rPr>
              <w:rFonts w:ascii="Times New Roman" w:hAnsi="Times New Roman"/>
              <w:szCs w:val="20"/>
            </w:rPr>
            <w:t xml:space="preserve">Jurnal Ilmiah : </w:t>
          </w:r>
          <w:r w:rsidRPr="001559E4">
            <w:rPr>
              <w:rFonts w:ascii="Times New Roman" w:hAnsi="Times New Roman"/>
              <w:iCs/>
              <w:szCs w:val="20"/>
              <w:lang w:val="en-US"/>
            </w:rPr>
            <w:t>J-HESTECH</w:t>
          </w:r>
          <w:r w:rsidRPr="001559E4">
            <w:rPr>
              <w:rFonts w:ascii="Times New Roman" w:hAnsi="Times New Roman"/>
              <w:iCs/>
              <w:szCs w:val="20"/>
            </w:rPr>
            <w:t xml:space="preserve">, </w:t>
          </w:r>
          <w:r w:rsidRPr="001559E4">
            <w:rPr>
              <w:rFonts w:ascii="Times New Roman" w:hAnsi="Times New Roman"/>
              <w:szCs w:val="20"/>
            </w:rPr>
            <w:t>Vol</w:t>
          </w:r>
          <w:r w:rsidRPr="001559E4">
            <w:rPr>
              <w:rFonts w:ascii="Times New Roman" w:hAnsi="Times New Roman"/>
              <w:szCs w:val="20"/>
              <w:lang w:val="en-US"/>
            </w:rPr>
            <w:t xml:space="preserve">.9 </w:t>
          </w:r>
          <w:r w:rsidRPr="001559E4">
            <w:rPr>
              <w:rFonts w:ascii="Times New Roman" w:hAnsi="Times New Roman"/>
              <w:szCs w:val="20"/>
            </w:rPr>
            <w:t>No.</w:t>
          </w:r>
          <w:r w:rsidRPr="001559E4">
            <w:rPr>
              <w:rFonts w:ascii="Times New Roman" w:hAnsi="Times New Roman"/>
              <w:szCs w:val="20"/>
              <w:lang w:val="en-US"/>
            </w:rPr>
            <w:t xml:space="preserve"> 1</w:t>
          </w:r>
        </w:p>
        <w:p w14:paraId="2AD4EE34" w14:textId="0620B02A" w:rsidR="00D93C2E" w:rsidRPr="00EC2689" w:rsidRDefault="00BE5371" w:rsidP="00BE5371">
          <w:pPr>
            <w:pStyle w:val="Header"/>
            <w:spacing w:after="0" w:line="240" w:lineRule="auto"/>
            <w:jc w:val="right"/>
            <w:rPr>
              <w:rFonts w:ascii="Times New Roman" w:hAnsi="Times New Roman"/>
              <w:b/>
              <w:sz w:val="24"/>
              <w:lang w:val="en-US"/>
            </w:rPr>
          </w:pPr>
          <w:r w:rsidRPr="001559E4">
            <w:rPr>
              <w:rFonts w:ascii="Times New Roman" w:hAnsi="Times New Roman"/>
              <w:szCs w:val="20"/>
            </w:rPr>
            <w:t>Bulan Juni Tahun 2026</w:t>
          </w:r>
          <w:r w:rsidRPr="001559E4">
            <w:rPr>
              <w:rFonts w:ascii="Times New Roman" w:hAnsi="Times New Roman"/>
              <w:szCs w:val="20"/>
              <w:lang w:val="en-US"/>
            </w:rPr>
            <w:t xml:space="preserve">, </w:t>
          </w:r>
          <w:r w:rsidR="00D93C2E" w:rsidRPr="001559E4">
            <w:rPr>
              <w:rFonts w:ascii="Times New Roman" w:hAnsi="Times New Roman"/>
              <w:szCs w:val="20"/>
            </w:rPr>
            <w:t>Halaman</w:t>
          </w:r>
          <w:r w:rsidRPr="001559E4">
            <w:rPr>
              <w:rFonts w:ascii="Times New Roman" w:hAnsi="Times New Roman"/>
              <w:szCs w:val="20"/>
              <w:lang w:val="en-US"/>
            </w:rPr>
            <w:t xml:space="preserve"> 245 252</w:t>
          </w:r>
        </w:p>
      </w:tc>
      <w:tc>
        <w:tcPr>
          <w:tcW w:w="1800" w:type="dxa"/>
        </w:tcPr>
        <w:p w14:paraId="45C2FCE8" w14:textId="77777777" w:rsidR="00D93C2E" w:rsidRDefault="00D93C2E" w:rsidP="00D93C2E">
          <w:pPr>
            <w:pStyle w:val="Header"/>
            <w:rPr>
              <w:rFonts w:ascii="Times New Roman" w:hAnsi="Times New Roman"/>
              <w:sz w:val="20"/>
              <w:szCs w:val="20"/>
              <w:lang w:val="en-US"/>
            </w:rPr>
          </w:pPr>
          <w:r>
            <w:rPr>
              <w:rFonts w:ascii="Times New Roman" w:hAnsi="Times New Roman"/>
              <w:sz w:val="20"/>
              <w:szCs w:val="20"/>
              <w:lang w:val="en-US"/>
            </w:rPr>
            <w:t xml:space="preserve">   </w:t>
          </w:r>
        </w:p>
        <w:p w14:paraId="646D3D13" w14:textId="77777777" w:rsidR="00D93C2E" w:rsidRPr="00FD23F0" w:rsidRDefault="00D93C2E" w:rsidP="00D93C2E">
          <w:pPr>
            <w:pStyle w:val="Header"/>
            <w:rPr>
              <w:rFonts w:ascii="Times New Roman" w:hAnsi="Times New Roman"/>
              <w:sz w:val="20"/>
              <w:szCs w:val="20"/>
              <w:lang w:val="en-US"/>
            </w:rPr>
          </w:pPr>
          <w:r>
            <w:rPr>
              <w:rFonts w:ascii="Times New Roman" w:hAnsi="Times New Roman"/>
              <w:sz w:val="20"/>
              <w:szCs w:val="20"/>
              <w:lang w:val="en-US"/>
            </w:rPr>
            <w:t xml:space="preserve">     </w:t>
          </w:r>
          <w:r w:rsidRPr="00D93C2E">
            <w:rPr>
              <w:rFonts w:ascii="Times New Roman" w:hAnsi="Times New Roman"/>
              <w:noProof/>
              <w:sz w:val="20"/>
              <w:szCs w:val="20"/>
              <w:lang w:val="en-US"/>
            </w:rPr>
            <w:drawing>
              <wp:inline distT="0" distB="0" distL="0" distR="0" wp14:anchorId="7811C1C7" wp14:editId="5C43EBAC">
                <wp:extent cx="705345" cy="783771"/>
                <wp:effectExtent l="19050" t="0" r="0" b="0"/>
                <wp:docPr id="6" name="Picture 3" descr="D:\GAMBAR KESEHATAN\QA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AMBAR KESEHATAN\QAJI.jpg"/>
                        <pic:cNvPicPr>
                          <a:picLocks noChangeAspect="1" noChangeArrowheads="1"/>
                        </pic:cNvPicPr>
                      </pic:nvPicPr>
                      <pic:blipFill>
                        <a:blip r:embed="rId3"/>
                        <a:srcRect/>
                        <a:stretch>
                          <a:fillRect/>
                        </a:stretch>
                      </pic:blipFill>
                      <pic:spPr bwMode="auto">
                        <a:xfrm>
                          <a:off x="0" y="0"/>
                          <a:ext cx="707390" cy="786043"/>
                        </a:xfrm>
                        <a:prstGeom prst="rect">
                          <a:avLst/>
                        </a:prstGeom>
                        <a:noFill/>
                        <a:ln w="9525">
                          <a:noFill/>
                          <a:miter lim="800000"/>
                          <a:headEnd/>
                          <a:tailEnd/>
                        </a:ln>
                      </pic:spPr>
                    </pic:pic>
                  </a:graphicData>
                </a:graphic>
              </wp:inline>
            </w:drawing>
          </w:r>
          <w:r>
            <w:rPr>
              <w:rFonts w:ascii="Times New Roman" w:hAnsi="Times New Roman"/>
              <w:sz w:val="20"/>
              <w:szCs w:val="20"/>
              <w:lang w:val="en-US"/>
            </w:rPr>
            <w:t xml:space="preserve">    </w:t>
          </w:r>
        </w:p>
      </w:tc>
    </w:tr>
  </w:tbl>
  <w:p w14:paraId="4B5B288D" w14:textId="77777777" w:rsidR="008A3AB8" w:rsidRPr="008A3AB8" w:rsidRDefault="008A3AB8" w:rsidP="002C73B9">
    <w:pPr>
      <w:pStyle w:val="Header"/>
      <w:spacing w:after="0" w:line="240" w:lineRule="auto"/>
      <w:rPr>
        <w:rFonts w:ascii="Book Antiqua" w:hAnsi="Book Antiqua"/>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1D9B"/>
    <w:multiLevelType w:val="multilevel"/>
    <w:tmpl w:val="FAF4053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15:restartNumberingAfterBreak="0">
    <w:nsid w:val="19190160"/>
    <w:multiLevelType w:val="multilevel"/>
    <w:tmpl w:val="50147ACA"/>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1BEE3BDE"/>
    <w:multiLevelType w:val="multilevel"/>
    <w:tmpl w:val="D1AC4C1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28103542"/>
    <w:multiLevelType w:val="multilevel"/>
    <w:tmpl w:val="C6B6CE0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46014E51"/>
    <w:multiLevelType w:val="multilevel"/>
    <w:tmpl w:val="7770998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4DD9500E"/>
    <w:multiLevelType w:val="multilevel"/>
    <w:tmpl w:val="CF8608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71120CDE"/>
    <w:multiLevelType w:val="hybridMultilevel"/>
    <w:tmpl w:val="9AF40792"/>
    <w:lvl w:ilvl="0" w:tplc="660C5670">
      <w:start w:val="1"/>
      <w:numFmt w:val="none"/>
      <w:isLgl/>
      <w:lvlText w:val="2.3"/>
      <w:lvlJc w:val="left"/>
      <w:pPr>
        <w:tabs>
          <w:tab w:val="num" w:pos="1004"/>
        </w:tabs>
        <w:ind w:left="100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51F0317"/>
    <w:multiLevelType w:val="multilevel"/>
    <w:tmpl w:val="7BCA8EAA"/>
    <w:lvl w:ilvl="0">
      <w:start w:val="2"/>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num w:numId="1" w16cid:durableId="1176723284">
    <w:abstractNumId w:val="1"/>
  </w:num>
  <w:num w:numId="2" w16cid:durableId="1458452292">
    <w:abstractNumId w:val="0"/>
  </w:num>
  <w:num w:numId="3" w16cid:durableId="876551758">
    <w:abstractNumId w:val="3"/>
  </w:num>
  <w:num w:numId="4" w16cid:durableId="894775147">
    <w:abstractNumId w:val="4"/>
  </w:num>
  <w:num w:numId="5" w16cid:durableId="1062408611">
    <w:abstractNumId w:val="2"/>
  </w:num>
  <w:num w:numId="6" w16cid:durableId="1760562480">
    <w:abstractNumId w:val="5"/>
  </w:num>
  <w:num w:numId="7" w16cid:durableId="1923680390">
    <w:abstractNumId w:val="6"/>
  </w:num>
  <w:num w:numId="8" w16cid:durableId="13588939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evenAndOddHeaders/>
  <w:drawingGridHorizontalSpacing w:val="105"/>
  <w:displayHorizontalDrawingGridEvery w:val="2"/>
  <w:characterSpacingControl w:val="doNotCompress"/>
  <w:hdrShapeDefaults>
    <o:shapedefaults v:ext="edit" spidmax="2050">
      <o:colormru v:ext="edit" colors="#ff7c8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18B"/>
    <w:rsid w:val="00012A13"/>
    <w:rsid w:val="00013046"/>
    <w:rsid w:val="000443FF"/>
    <w:rsid w:val="00051526"/>
    <w:rsid w:val="000636D7"/>
    <w:rsid w:val="0006584F"/>
    <w:rsid w:val="00084C70"/>
    <w:rsid w:val="000910AF"/>
    <w:rsid w:val="000912F0"/>
    <w:rsid w:val="000A520A"/>
    <w:rsid w:val="000A7FBB"/>
    <w:rsid w:val="000C3B45"/>
    <w:rsid w:val="000C5C5A"/>
    <w:rsid w:val="000D219C"/>
    <w:rsid w:val="00102D99"/>
    <w:rsid w:val="00107115"/>
    <w:rsid w:val="00115E24"/>
    <w:rsid w:val="00127B10"/>
    <w:rsid w:val="001559E4"/>
    <w:rsid w:val="00165C94"/>
    <w:rsid w:val="00172126"/>
    <w:rsid w:val="00174DE2"/>
    <w:rsid w:val="00184B32"/>
    <w:rsid w:val="00184DFF"/>
    <w:rsid w:val="001B4FBE"/>
    <w:rsid w:val="001C696E"/>
    <w:rsid w:val="001D2136"/>
    <w:rsid w:val="001F1563"/>
    <w:rsid w:val="00217445"/>
    <w:rsid w:val="0022102D"/>
    <w:rsid w:val="002320EE"/>
    <w:rsid w:val="002475EB"/>
    <w:rsid w:val="002A383E"/>
    <w:rsid w:val="002A7D01"/>
    <w:rsid w:val="002C73B9"/>
    <w:rsid w:val="002D1046"/>
    <w:rsid w:val="002D3C17"/>
    <w:rsid w:val="0032193C"/>
    <w:rsid w:val="003425FC"/>
    <w:rsid w:val="0034380C"/>
    <w:rsid w:val="003456B7"/>
    <w:rsid w:val="0035118B"/>
    <w:rsid w:val="00367376"/>
    <w:rsid w:val="003702B8"/>
    <w:rsid w:val="00375EF0"/>
    <w:rsid w:val="003A262B"/>
    <w:rsid w:val="003E27D4"/>
    <w:rsid w:val="003E3055"/>
    <w:rsid w:val="003E5F1F"/>
    <w:rsid w:val="003F6E95"/>
    <w:rsid w:val="00400ED0"/>
    <w:rsid w:val="00407071"/>
    <w:rsid w:val="00416C09"/>
    <w:rsid w:val="00417C75"/>
    <w:rsid w:val="0042662F"/>
    <w:rsid w:val="004275C7"/>
    <w:rsid w:val="004361D7"/>
    <w:rsid w:val="0044586E"/>
    <w:rsid w:val="0047140C"/>
    <w:rsid w:val="004726E6"/>
    <w:rsid w:val="00493B29"/>
    <w:rsid w:val="004B3A6F"/>
    <w:rsid w:val="004B4D5A"/>
    <w:rsid w:val="004C0429"/>
    <w:rsid w:val="004C6F00"/>
    <w:rsid w:val="004C770B"/>
    <w:rsid w:val="004D0D7C"/>
    <w:rsid w:val="004D22EC"/>
    <w:rsid w:val="004D7E7D"/>
    <w:rsid w:val="004E3D20"/>
    <w:rsid w:val="004E43E3"/>
    <w:rsid w:val="00501B08"/>
    <w:rsid w:val="00510C80"/>
    <w:rsid w:val="00516A28"/>
    <w:rsid w:val="00516D9D"/>
    <w:rsid w:val="00546982"/>
    <w:rsid w:val="00553E93"/>
    <w:rsid w:val="00553E99"/>
    <w:rsid w:val="00575970"/>
    <w:rsid w:val="00591009"/>
    <w:rsid w:val="005A18B3"/>
    <w:rsid w:val="005A783B"/>
    <w:rsid w:val="005B0ED1"/>
    <w:rsid w:val="005C151C"/>
    <w:rsid w:val="005D6650"/>
    <w:rsid w:val="005E0BFA"/>
    <w:rsid w:val="0062164F"/>
    <w:rsid w:val="00622526"/>
    <w:rsid w:val="00623AC4"/>
    <w:rsid w:val="00630FC4"/>
    <w:rsid w:val="00633A4C"/>
    <w:rsid w:val="00640192"/>
    <w:rsid w:val="006510BC"/>
    <w:rsid w:val="00662F6B"/>
    <w:rsid w:val="00664B6A"/>
    <w:rsid w:val="006658A5"/>
    <w:rsid w:val="00674183"/>
    <w:rsid w:val="00681F10"/>
    <w:rsid w:val="00696A42"/>
    <w:rsid w:val="006B1761"/>
    <w:rsid w:val="006F3B33"/>
    <w:rsid w:val="0070246C"/>
    <w:rsid w:val="00703649"/>
    <w:rsid w:val="007277C8"/>
    <w:rsid w:val="00750EBA"/>
    <w:rsid w:val="00764F60"/>
    <w:rsid w:val="00766B8D"/>
    <w:rsid w:val="00776531"/>
    <w:rsid w:val="007942F8"/>
    <w:rsid w:val="007965FA"/>
    <w:rsid w:val="007A684A"/>
    <w:rsid w:val="007B2CE2"/>
    <w:rsid w:val="007B6554"/>
    <w:rsid w:val="007D0101"/>
    <w:rsid w:val="007E239E"/>
    <w:rsid w:val="007E56CA"/>
    <w:rsid w:val="0080732E"/>
    <w:rsid w:val="00810536"/>
    <w:rsid w:val="00812F7A"/>
    <w:rsid w:val="00822962"/>
    <w:rsid w:val="00882E65"/>
    <w:rsid w:val="00891F54"/>
    <w:rsid w:val="008A3AB8"/>
    <w:rsid w:val="008A422C"/>
    <w:rsid w:val="008A7438"/>
    <w:rsid w:val="008B20AF"/>
    <w:rsid w:val="008B6591"/>
    <w:rsid w:val="008C092A"/>
    <w:rsid w:val="008C4AF7"/>
    <w:rsid w:val="008D0B05"/>
    <w:rsid w:val="008D1DC0"/>
    <w:rsid w:val="008D2524"/>
    <w:rsid w:val="008F3D3A"/>
    <w:rsid w:val="00901561"/>
    <w:rsid w:val="009132BA"/>
    <w:rsid w:val="00922329"/>
    <w:rsid w:val="00931DA0"/>
    <w:rsid w:val="00935308"/>
    <w:rsid w:val="009646F0"/>
    <w:rsid w:val="00967203"/>
    <w:rsid w:val="0097007B"/>
    <w:rsid w:val="00983DCF"/>
    <w:rsid w:val="009A27D1"/>
    <w:rsid w:val="009C5111"/>
    <w:rsid w:val="009D0B23"/>
    <w:rsid w:val="009D29A8"/>
    <w:rsid w:val="009D3059"/>
    <w:rsid w:val="009E04B3"/>
    <w:rsid w:val="009E55EB"/>
    <w:rsid w:val="009F199B"/>
    <w:rsid w:val="009F3591"/>
    <w:rsid w:val="00A002DE"/>
    <w:rsid w:val="00A23154"/>
    <w:rsid w:val="00A313E5"/>
    <w:rsid w:val="00A37DCD"/>
    <w:rsid w:val="00A436C4"/>
    <w:rsid w:val="00A52FC9"/>
    <w:rsid w:val="00A56E3C"/>
    <w:rsid w:val="00A5770B"/>
    <w:rsid w:val="00A87D7A"/>
    <w:rsid w:val="00A95C68"/>
    <w:rsid w:val="00AA2201"/>
    <w:rsid w:val="00AA52B8"/>
    <w:rsid w:val="00AD38AA"/>
    <w:rsid w:val="00AD68EB"/>
    <w:rsid w:val="00AE1102"/>
    <w:rsid w:val="00AF5B51"/>
    <w:rsid w:val="00B105F4"/>
    <w:rsid w:val="00B33BA7"/>
    <w:rsid w:val="00B35A16"/>
    <w:rsid w:val="00B40968"/>
    <w:rsid w:val="00B4201A"/>
    <w:rsid w:val="00B50E96"/>
    <w:rsid w:val="00B551A9"/>
    <w:rsid w:val="00B55235"/>
    <w:rsid w:val="00B7244F"/>
    <w:rsid w:val="00B874A5"/>
    <w:rsid w:val="00B9580C"/>
    <w:rsid w:val="00BA413C"/>
    <w:rsid w:val="00BA692F"/>
    <w:rsid w:val="00BC4DB3"/>
    <w:rsid w:val="00BD0692"/>
    <w:rsid w:val="00BD4E4A"/>
    <w:rsid w:val="00BD5ABC"/>
    <w:rsid w:val="00BE2CAB"/>
    <w:rsid w:val="00BE5371"/>
    <w:rsid w:val="00BF47A2"/>
    <w:rsid w:val="00C446D7"/>
    <w:rsid w:val="00C533F3"/>
    <w:rsid w:val="00C55923"/>
    <w:rsid w:val="00C572D7"/>
    <w:rsid w:val="00C659C4"/>
    <w:rsid w:val="00C81BE4"/>
    <w:rsid w:val="00CC696F"/>
    <w:rsid w:val="00CD36DA"/>
    <w:rsid w:val="00CE03EB"/>
    <w:rsid w:val="00CE56BB"/>
    <w:rsid w:val="00CE7A9D"/>
    <w:rsid w:val="00D01C09"/>
    <w:rsid w:val="00D02CBB"/>
    <w:rsid w:val="00D10860"/>
    <w:rsid w:val="00D2366E"/>
    <w:rsid w:val="00D27B7F"/>
    <w:rsid w:val="00D324D4"/>
    <w:rsid w:val="00D34800"/>
    <w:rsid w:val="00D361A2"/>
    <w:rsid w:val="00D361B4"/>
    <w:rsid w:val="00D411CD"/>
    <w:rsid w:val="00D52EFC"/>
    <w:rsid w:val="00D56D40"/>
    <w:rsid w:val="00D6072D"/>
    <w:rsid w:val="00D65682"/>
    <w:rsid w:val="00D677F9"/>
    <w:rsid w:val="00D768A9"/>
    <w:rsid w:val="00D93C2E"/>
    <w:rsid w:val="00DA299C"/>
    <w:rsid w:val="00DC0369"/>
    <w:rsid w:val="00DC5080"/>
    <w:rsid w:val="00DF264E"/>
    <w:rsid w:val="00DF295C"/>
    <w:rsid w:val="00E00983"/>
    <w:rsid w:val="00E05408"/>
    <w:rsid w:val="00E111B0"/>
    <w:rsid w:val="00E3184D"/>
    <w:rsid w:val="00E34BEA"/>
    <w:rsid w:val="00E579D1"/>
    <w:rsid w:val="00E81551"/>
    <w:rsid w:val="00E91F20"/>
    <w:rsid w:val="00E9747C"/>
    <w:rsid w:val="00EA383A"/>
    <w:rsid w:val="00EB137A"/>
    <w:rsid w:val="00EB16B3"/>
    <w:rsid w:val="00ED076E"/>
    <w:rsid w:val="00F0522F"/>
    <w:rsid w:val="00F2531D"/>
    <w:rsid w:val="00F416C8"/>
    <w:rsid w:val="00F443AD"/>
    <w:rsid w:val="00F55337"/>
    <w:rsid w:val="00F63394"/>
    <w:rsid w:val="00F728C4"/>
    <w:rsid w:val="00F83FA1"/>
    <w:rsid w:val="00F85D08"/>
    <w:rsid w:val="00F8732A"/>
    <w:rsid w:val="00F903A2"/>
    <w:rsid w:val="00F90533"/>
    <w:rsid w:val="00F91C7D"/>
    <w:rsid w:val="00FA52A4"/>
    <w:rsid w:val="00FA6A46"/>
    <w:rsid w:val="00FC1F4F"/>
    <w:rsid w:val="00FD1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7c80"/>
    </o:shapedefaults>
    <o:shapelayout v:ext="edit">
      <o:idmap v:ext="edit" data="2"/>
    </o:shapelayout>
  </w:shapeDefaults>
  <w:decimalSymbol w:val=","/>
  <w:listSeparator w:val=";"/>
  <w14:docId w14:val="21B6422B"/>
  <w15:docId w15:val="{3453D3BC-3984-4583-91C0-9BBE0F08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61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6D25A3"/>
    <w:rPr>
      <w:color w:val="0000FF"/>
      <w:u w:val="single"/>
    </w:rPr>
  </w:style>
  <w:style w:type="character" w:customStyle="1" w:styleId="BalloonTextChar">
    <w:name w:val="Balloon Text Char"/>
    <w:link w:val="BalloonText"/>
    <w:uiPriority w:val="99"/>
    <w:semiHidden/>
    <w:qFormat/>
    <w:rsid w:val="00196B85"/>
    <w:rPr>
      <w:rFonts w:ascii="Segoe UI" w:hAnsi="Segoe UI" w:cs="Segoe UI"/>
      <w:sz w:val="18"/>
      <w:szCs w:val="18"/>
      <w:lang w:eastAsia="en-US"/>
    </w:rPr>
  </w:style>
  <w:style w:type="character" w:customStyle="1" w:styleId="HeaderChar">
    <w:name w:val="Header Char"/>
    <w:link w:val="Header"/>
    <w:uiPriority w:val="99"/>
    <w:qFormat/>
    <w:rsid w:val="00BE27DD"/>
    <w:rPr>
      <w:sz w:val="22"/>
      <w:szCs w:val="22"/>
      <w:lang w:eastAsia="en-US"/>
    </w:rPr>
  </w:style>
  <w:style w:type="character" w:customStyle="1" w:styleId="FooterChar">
    <w:name w:val="Footer Char"/>
    <w:link w:val="Footer"/>
    <w:uiPriority w:val="99"/>
    <w:qFormat/>
    <w:rsid w:val="00BE27DD"/>
    <w:rPr>
      <w:sz w:val="22"/>
      <w:szCs w:val="22"/>
      <w:lang w:eastAsia="en-US"/>
    </w:rPr>
  </w:style>
  <w:style w:type="paragraph" w:customStyle="1" w:styleId="Heading">
    <w:name w:val="Heading"/>
    <w:basedOn w:val="Normal"/>
    <w:next w:val="BodyText"/>
    <w:qFormat/>
    <w:rsid w:val="0035118B"/>
    <w:pPr>
      <w:keepNext/>
      <w:spacing w:before="240" w:after="120"/>
    </w:pPr>
    <w:rPr>
      <w:rFonts w:ascii="Liberation Sans" w:eastAsia="Microsoft YaHei" w:hAnsi="Liberation Sans" w:cs="Mangal"/>
      <w:sz w:val="28"/>
      <w:szCs w:val="28"/>
    </w:rPr>
  </w:style>
  <w:style w:type="paragraph" w:styleId="BodyText">
    <w:name w:val="Body Text"/>
    <w:basedOn w:val="Normal"/>
    <w:rsid w:val="0035118B"/>
    <w:pPr>
      <w:spacing w:after="140" w:line="288" w:lineRule="auto"/>
    </w:pPr>
  </w:style>
  <w:style w:type="paragraph" w:styleId="List">
    <w:name w:val="List"/>
    <w:basedOn w:val="BodyText"/>
    <w:rsid w:val="0035118B"/>
    <w:rPr>
      <w:rFonts w:cs="Mangal"/>
    </w:rPr>
  </w:style>
  <w:style w:type="paragraph" w:styleId="Caption">
    <w:name w:val="caption"/>
    <w:basedOn w:val="Normal"/>
    <w:qFormat/>
    <w:rsid w:val="0035118B"/>
    <w:pPr>
      <w:suppressLineNumbers/>
      <w:spacing w:before="120" w:after="120"/>
    </w:pPr>
    <w:rPr>
      <w:rFonts w:cs="Mangal"/>
      <w:i/>
      <w:iCs/>
      <w:sz w:val="24"/>
      <w:szCs w:val="24"/>
    </w:rPr>
  </w:style>
  <w:style w:type="paragraph" w:customStyle="1" w:styleId="Index">
    <w:name w:val="Index"/>
    <w:basedOn w:val="Normal"/>
    <w:qFormat/>
    <w:rsid w:val="0035118B"/>
    <w:pPr>
      <w:suppressLineNumbers/>
    </w:pPr>
    <w:rPr>
      <w:rFonts w:cs="Mangal"/>
    </w:rPr>
  </w:style>
  <w:style w:type="paragraph" w:customStyle="1" w:styleId="Default">
    <w:name w:val="Default"/>
    <w:qFormat/>
    <w:rsid w:val="006D25A3"/>
    <w:rPr>
      <w:rFonts w:ascii="Times New Roman" w:hAnsi="Times New Roman"/>
      <w:color w:val="000000"/>
      <w:sz w:val="24"/>
      <w:szCs w:val="24"/>
    </w:rPr>
  </w:style>
  <w:style w:type="paragraph" w:customStyle="1" w:styleId="Figure">
    <w:name w:val="Figure"/>
    <w:basedOn w:val="Normal"/>
    <w:qFormat/>
    <w:rsid w:val="006E0875"/>
    <w:pPr>
      <w:keepNext/>
      <w:spacing w:line="240" w:lineRule="auto"/>
      <w:jc w:val="center"/>
    </w:pPr>
    <w:rPr>
      <w:rFonts w:ascii="Times New Roman" w:eastAsia="MS Mincho" w:hAnsi="Times New Roman"/>
      <w:sz w:val="20"/>
      <w:szCs w:val="20"/>
      <w:lang w:val="en-US"/>
    </w:rPr>
  </w:style>
  <w:style w:type="paragraph" w:styleId="BalloonText">
    <w:name w:val="Balloon Text"/>
    <w:basedOn w:val="Normal"/>
    <w:link w:val="BalloonTextChar"/>
    <w:uiPriority w:val="99"/>
    <w:semiHidden/>
    <w:unhideWhenUsed/>
    <w:qFormat/>
    <w:rsid w:val="00196B85"/>
    <w:pPr>
      <w:spacing w:after="0" w:line="240" w:lineRule="auto"/>
    </w:pPr>
    <w:rPr>
      <w:rFonts w:ascii="Segoe UI" w:hAnsi="Segoe UI"/>
      <w:sz w:val="18"/>
      <w:szCs w:val="18"/>
    </w:rPr>
  </w:style>
  <w:style w:type="paragraph" w:styleId="Header">
    <w:name w:val="header"/>
    <w:basedOn w:val="Normal"/>
    <w:link w:val="HeaderChar"/>
    <w:uiPriority w:val="99"/>
    <w:unhideWhenUsed/>
    <w:rsid w:val="00BE27DD"/>
    <w:pPr>
      <w:tabs>
        <w:tab w:val="center" w:pos="4513"/>
        <w:tab w:val="right" w:pos="9026"/>
      </w:tabs>
    </w:pPr>
  </w:style>
  <w:style w:type="paragraph" w:styleId="Footer">
    <w:name w:val="footer"/>
    <w:basedOn w:val="Normal"/>
    <w:link w:val="FooterChar"/>
    <w:uiPriority w:val="99"/>
    <w:unhideWhenUsed/>
    <w:rsid w:val="00BE27DD"/>
    <w:pPr>
      <w:tabs>
        <w:tab w:val="center" w:pos="4513"/>
        <w:tab w:val="right" w:pos="9026"/>
      </w:tabs>
    </w:pPr>
  </w:style>
  <w:style w:type="character" w:styleId="Hyperlink">
    <w:name w:val="Hyperlink"/>
    <w:basedOn w:val="DefaultParagraphFont"/>
    <w:uiPriority w:val="99"/>
    <w:unhideWhenUsed/>
    <w:rsid w:val="00102D99"/>
    <w:rPr>
      <w:color w:val="0563C1"/>
      <w:u w:val="single"/>
    </w:rPr>
  </w:style>
  <w:style w:type="paragraph" w:styleId="Bibliography">
    <w:name w:val="Bibliography"/>
    <w:basedOn w:val="Normal"/>
    <w:next w:val="Normal"/>
    <w:uiPriority w:val="37"/>
    <w:unhideWhenUsed/>
    <w:rsid w:val="001D2136"/>
    <w:pPr>
      <w:tabs>
        <w:tab w:val="left" w:pos="384"/>
      </w:tabs>
      <w:spacing w:after="0" w:line="240" w:lineRule="auto"/>
      <w:ind w:left="384" w:hanging="384"/>
    </w:pPr>
  </w:style>
  <w:style w:type="paragraph" w:styleId="FootnoteText">
    <w:name w:val="footnote text"/>
    <w:basedOn w:val="Normal"/>
    <w:link w:val="FootnoteTextChar"/>
    <w:uiPriority w:val="99"/>
    <w:semiHidden/>
    <w:unhideWhenUsed/>
    <w:rsid w:val="00546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6982"/>
    <w:rPr>
      <w:lang w:eastAsia="en-US"/>
    </w:rPr>
  </w:style>
  <w:style w:type="character" w:styleId="FootnoteReference">
    <w:name w:val="footnote reference"/>
    <w:basedOn w:val="DefaultParagraphFont"/>
    <w:uiPriority w:val="99"/>
    <w:semiHidden/>
    <w:unhideWhenUsed/>
    <w:rsid w:val="00546982"/>
    <w:rPr>
      <w:vertAlign w:val="superscript"/>
    </w:rPr>
  </w:style>
  <w:style w:type="paragraph" w:styleId="EndnoteText">
    <w:name w:val="endnote text"/>
    <w:basedOn w:val="Normal"/>
    <w:link w:val="EndnoteTextChar"/>
    <w:uiPriority w:val="99"/>
    <w:semiHidden/>
    <w:unhideWhenUsed/>
    <w:rsid w:val="005469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982"/>
    <w:rPr>
      <w:lang w:eastAsia="en-US"/>
    </w:rPr>
  </w:style>
  <w:style w:type="character" w:styleId="EndnoteReference">
    <w:name w:val="endnote reference"/>
    <w:basedOn w:val="DefaultParagraphFont"/>
    <w:uiPriority w:val="99"/>
    <w:semiHidden/>
    <w:unhideWhenUsed/>
    <w:rsid w:val="00546982"/>
    <w:rPr>
      <w:vertAlign w:val="superscript"/>
    </w:rPr>
  </w:style>
  <w:style w:type="paragraph" w:styleId="ListParagraph">
    <w:name w:val="List Paragraph"/>
    <w:basedOn w:val="Normal"/>
    <w:uiPriority w:val="34"/>
    <w:qFormat/>
    <w:rsid w:val="00C572D7"/>
    <w:pPr>
      <w:ind w:left="720"/>
      <w:contextualSpacing/>
    </w:pPr>
  </w:style>
  <w:style w:type="character" w:styleId="PlaceholderText">
    <w:name w:val="Placeholder Text"/>
    <w:basedOn w:val="DefaultParagraphFont"/>
    <w:uiPriority w:val="99"/>
    <w:semiHidden/>
    <w:rsid w:val="00F63394"/>
    <w:rPr>
      <w:color w:val="808080"/>
    </w:rPr>
  </w:style>
  <w:style w:type="table" w:styleId="TableGrid">
    <w:name w:val="Table Grid"/>
    <w:basedOn w:val="TableNormal"/>
    <w:uiPriority w:val="59"/>
    <w:rsid w:val="008A3AB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D56D40"/>
    <w:rPr>
      <w:color w:val="605E5C"/>
      <w:shd w:val="clear" w:color="auto" w:fill="E1DFDD"/>
    </w:rPr>
  </w:style>
  <w:style w:type="character" w:styleId="FollowedHyperlink">
    <w:name w:val="FollowedHyperlink"/>
    <w:basedOn w:val="DefaultParagraphFont"/>
    <w:uiPriority w:val="99"/>
    <w:semiHidden/>
    <w:unhideWhenUsed/>
    <w:rsid w:val="00681F10"/>
    <w:rPr>
      <w:color w:val="954F72" w:themeColor="followedHyperlink"/>
      <w:u w:val="single"/>
    </w:rPr>
  </w:style>
  <w:style w:type="paragraph" w:styleId="NormalWeb">
    <w:name w:val="Normal (Web)"/>
    <w:basedOn w:val="Normal"/>
    <w:uiPriority w:val="99"/>
    <w:unhideWhenUsed/>
    <w:rsid w:val="009C5111"/>
    <w:pPr>
      <w:spacing w:before="100" w:beforeAutospacing="1" w:after="100" w:afterAutospacing="1" w:line="240" w:lineRule="auto"/>
    </w:pPr>
    <w:rPr>
      <w:rFonts w:ascii="Times New Roman" w:eastAsia="Times New Roman" w:hAnsi="Times New Roman"/>
      <w:sz w:val="24"/>
      <w:szCs w:val="24"/>
      <w:lang w:val="en-ID"/>
    </w:rPr>
  </w:style>
  <w:style w:type="character" w:styleId="Strong">
    <w:name w:val="Strong"/>
    <w:basedOn w:val="DefaultParagraphFont"/>
    <w:uiPriority w:val="22"/>
    <w:qFormat/>
    <w:rsid w:val="009C5111"/>
    <w:rPr>
      <w:b/>
      <w:bCs/>
    </w:rPr>
  </w:style>
  <w:style w:type="character" w:styleId="Emphasis">
    <w:name w:val="Emphasis"/>
    <w:basedOn w:val="DefaultParagraphFont"/>
    <w:uiPriority w:val="20"/>
    <w:qFormat/>
    <w:rsid w:val="008D2524"/>
    <w:rPr>
      <w:i/>
      <w:iCs/>
    </w:rPr>
  </w:style>
  <w:style w:type="character" w:customStyle="1" w:styleId="math-inline">
    <w:name w:val="math-inline"/>
    <w:basedOn w:val="DefaultParagraphFont"/>
    <w:rsid w:val="001F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5253">
      <w:bodyDiv w:val="1"/>
      <w:marLeft w:val="0"/>
      <w:marRight w:val="0"/>
      <w:marTop w:val="0"/>
      <w:marBottom w:val="0"/>
      <w:divBdr>
        <w:top w:val="none" w:sz="0" w:space="0" w:color="auto"/>
        <w:left w:val="none" w:sz="0" w:space="0" w:color="auto"/>
        <w:bottom w:val="none" w:sz="0" w:space="0" w:color="auto"/>
        <w:right w:val="none" w:sz="0" w:space="0" w:color="auto"/>
      </w:divBdr>
    </w:div>
    <w:div w:id="76638614">
      <w:bodyDiv w:val="1"/>
      <w:marLeft w:val="0"/>
      <w:marRight w:val="0"/>
      <w:marTop w:val="0"/>
      <w:marBottom w:val="0"/>
      <w:divBdr>
        <w:top w:val="none" w:sz="0" w:space="0" w:color="auto"/>
        <w:left w:val="none" w:sz="0" w:space="0" w:color="auto"/>
        <w:bottom w:val="none" w:sz="0" w:space="0" w:color="auto"/>
        <w:right w:val="none" w:sz="0" w:space="0" w:color="auto"/>
      </w:divBdr>
    </w:div>
    <w:div w:id="322243943">
      <w:bodyDiv w:val="1"/>
      <w:marLeft w:val="0"/>
      <w:marRight w:val="0"/>
      <w:marTop w:val="0"/>
      <w:marBottom w:val="0"/>
      <w:divBdr>
        <w:top w:val="none" w:sz="0" w:space="0" w:color="auto"/>
        <w:left w:val="none" w:sz="0" w:space="0" w:color="auto"/>
        <w:bottom w:val="none" w:sz="0" w:space="0" w:color="auto"/>
        <w:right w:val="none" w:sz="0" w:space="0" w:color="auto"/>
      </w:divBdr>
    </w:div>
    <w:div w:id="356194802">
      <w:bodyDiv w:val="1"/>
      <w:marLeft w:val="0"/>
      <w:marRight w:val="0"/>
      <w:marTop w:val="0"/>
      <w:marBottom w:val="0"/>
      <w:divBdr>
        <w:top w:val="none" w:sz="0" w:space="0" w:color="auto"/>
        <w:left w:val="none" w:sz="0" w:space="0" w:color="auto"/>
        <w:bottom w:val="none" w:sz="0" w:space="0" w:color="auto"/>
        <w:right w:val="none" w:sz="0" w:space="0" w:color="auto"/>
      </w:divBdr>
    </w:div>
    <w:div w:id="360208935">
      <w:bodyDiv w:val="1"/>
      <w:marLeft w:val="0"/>
      <w:marRight w:val="0"/>
      <w:marTop w:val="0"/>
      <w:marBottom w:val="0"/>
      <w:divBdr>
        <w:top w:val="none" w:sz="0" w:space="0" w:color="auto"/>
        <w:left w:val="none" w:sz="0" w:space="0" w:color="auto"/>
        <w:bottom w:val="none" w:sz="0" w:space="0" w:color="auto"/>
        <w:right w:val="none" w:sz="0" w:space="0" w:color="auto"/>
      </w:divBdr>
    </w:div>
    <w:div w:id="394860432">
      <w:bodyDiv w:val="1"/>
      <w:marLeft w:val="0"/>
      <w:marRight w:val="0"/>
      <w:marTop w:val="0"/>
      <w:marBottom w:val="0"/>
      <w:divBdr>
        <w:top w:val="none" w:sz="0" w:space="0" w:color="auto"/>
        <w:left w:val="none" w:sz="0" w:space="0" w:color="auto"/>
        <w:bottom w:val="none" w:sz="0" w:space="0" w:color="auto"/>
        <w:right w:val="none" w:sz="0" w:space="0" w:color="auto"/>
      </w:divBdr>
    </w:div>
    <w:div w:id="724530577">
      <w:bodyDiv w:val="1"/>
      <w:marLeft w:val="0"/>
      <w:marRight w:val="0"/>
      <w:marTop w:val="0"/>
      <w:marBottom w:val="0"/>
      <w:divBdr>
        <w:top w:val="none" w:sz="0" w:space="0" w:color="auto"/>
        <w:left w:val="none" w:sz="0" w:space="0" w:color="auto"/>
        <w:bottom w:val="none" w:sz="0" w:space="0" w:color="auto"/>
        <w:right w:val="none" w:sz="0" w:space="0" w:color="auto"/>
      </w:divBdr>
    </w:div>
    <w:div w:id="804348127">
      <w:bodyDiv w:val="1"/>
      <w:marLeft w:val="0"/>
      <w:marRight w:val="0"/>
      <w:marTop w:val="0"/>
      <w:marBottom w:val="0"/>
      <w:divBdr>
        <w:top w:val="none" w:sz="0" w:space="0" w:color="auto"/>
        <w:left w:val="none" w:sz="0" w:space="0" w:color="auto"/>
        <w:bottom w:val="none" w:sz="0" w:space="0" w:color="auto"/>
        <w:right w:val="none" w:sz="0" w:space="0" w:color="auto"/>
      </w:divBdr>
    </w:div>
    <w:div w:id="846679474">
      <w:bodyDiv w:val="1"/>
      <w:marLeft w:val="0"/>
      <w:marRight w:val="0"/>
      <w:marTop w:val="0"/>
      <w:marBottom w:val="0"/>
      <w:divBdr>
        <w:top w:val="none" w:sz="0" w:space="0" w:color="auto"/>
        <w:left w:val="none" w:sz="0" w:space="0" w:color="auto"/>
        <w:bottom w:val="none" w:sz="0" w:space="0" w:color="auto"/>
        <w:right w:val="none" w:sz="0" w:space="0" w:color="auto"/>
      </w:divBdr>
    </w:div>
    <w:div w:id="887691515">
      <w:bodyDiv w:val="1"/>
      <w:marLeft w:val="0"/>
      <w:marRight w:val="0"/>
      <w:marTop w:val="0"/>
      <w:marBottom w:val="0"/>
      <w:divBdr>
        <w:top w:val="none" w:sz="0" w:space="0" w:color="auto"/>
        <w:left w:val="none" w:sz="0" w:space="0" w:color="auto"/>
        <w:bottom w:val="none" w:sz="0" w:space="0" w:color="auto"/>
        <w:right w:val="none" w:sz="0" w:space="0" w:color="auto"/>
      </w:divBdr>
    </w:div>
    <w:div w:id="948656570">
      <w:bodyDiv w:val="1"/>
      <w:marLeft w:val="0"/>
      <w:marRight w:val="0"/>
      <w:marTop w:val="0"/>
      <w:marBottom w:val="0"/>
      <w:divBdr>
        <w:top w:val="none" w:sz="0" w:space="0" w:color="auto"/>
        <w:left w:val="none" w:sz="0" w:space="0" w:color="auto"/>
        <w:bottom w:val="none" w:sz="0" w:space="0" w:color="auto"/>
        <w:right w:val="none" w:sz="0" w:space="0" w:color="auto"/>
      </w:divBdr>
    </w:div>
    <w:div w:id="954407020">
      <w:bodyDiv w:val="1"/>
      <w:marLeft w:val="0"/>
      <w:marRight w:val="0"/>
      <w:marTop w:val="0"/>
      <w:marBottom w:val="0"/>
      <w:divBdr>
        <w:top w:val="none" w:sz="0" w:space="0" w:color="auto"/>
        <w:left w:val="none" w:sz="0" w:space="0" w:color="auto"/>
        <w:bottom w:val="none" w:sz="0" w:space="0" w:color="auto"/>
        <w:right w:val="none" w:sz="0" w:space="0" w:color="auto"/>
      </w:divBdr>
    </w:div>
    <w:div w:id="1009016747">
      <w:bodyDiv w:val="1"/>
      <w:marLeft w:val="0"/>
      <w:marRight w:val="0"/>
      <w:marTop w:val="0"/>
      <w:marBottom w:val="0"/>
      <w:divBdr>
        <w:top w:val="none" w:sz="0" w:space="0" w:color="auto"/>
        <w:left w:val="none" w:sz="0" w:space="0" w:color="auto"/>
        <w:bottom w:val="none" w:sz="0" w:space="0" w:color="auto"/>
        <w:right w:val="none" w:sz="0" w:space="0" w:color="auto"/>
      </w:divBdr>
    </w:div>
    <w:div w:id="1196886837">
      <w:bodyDiv w:val="1"/>
      <w:marLeft w:val="0"/>
      <w:marRight w:val="0"/>
      <w:marTop w:val="0"/>
      <w:marBottom w:val="0"/>
      <w:divBdr>
        <w:top w:val="none" w:sz="0" w:space="0" w:color="auto"/>
        <w:left w:val="none" w:sz="0" w:space="0" w:color="auto"/>
        <w:bottom w:val="none" w:sz="0" w:space="0" w:color="auto"/>
        <w:right w:val="none" w:sz="0" w:space="0" w:color="auto"/>
      </w:divBdr>
    </w:div>
    <w:div w:id="1276249377">
      <w:bodyDiv w:val="1"/>
      <w:marLeft w:val="0"/>
      <w:marRight w:val="0"/>
      <w:marTop w:val="0"/>
      <w:marBottom w:val="0"/>
      <w:divBdr>
        <w:top w:val="none" w:sz="0" w:space="0" w:color="auto"/>
        <w:left w:val="none" w:sz="0" w:space="0" w:color="auto"/>
        <w:bottom w:val="none" w:sz="0" w:space="0" w:color="auto"/>
        <w:right w:val="none" w:sz="0" w:space="0" w:color="auto"/>
      </w:divBdr>
    </w:div>
    <w:div w:id="1318610905">
      <w:bodyDiv w:val="1"/>
      <w:marLeft w:val="0"/>
      <w:marRight w:val="0"/>
      <w:marTop w:val="0"/>
      <w:marBottom w:val="0"/>
      <w:divBdr>
        <w:top w:val="none" w:sz="0" w:space="0" w:color="auto"/>
        <w:left w:val="none" w:sz="0" w:space="0" w:color="auto"/>
        <w:bottom w:val="none" w:sz="0" w:space="0" w:color="auto"/>
        <w:right w:val="none" w:sz="0" w:space="0" w:color="auto"/>
      </w:divBdr>
    </w:div>
    <w:div w:id="1327392926">
      <w:bodyDiv w:val="1"/>
      <w:marLeft w:val="0"/>
      <w:marRight w:val="0"/>
      <w:marTop w:val="0"/>
      <w:marBottom w:val="0"/>
      <w:divBdr>
        <w:top w:val="none" w:sz="0" w:space="0" w:color="auto"/>
        <w:left w:val="none" w:sz="0" w:space="0" w:color="auto"/>
        <w:bottom w:val="none" w:sz="0" w:space="0" w:color="auto"/>
        <w:right w:val="none" w:sz="0" w:space="0" w:color="auto"/>
      </w:divBdr>
    </w:div>
    <w:div w:id="1332106554">
      <w:bodyDiv w:val="1"/>
      <w:marLeft w:val="0"/>
      <w:marRight w:val="0"/>
      <w:marTop w:val="0"/>
      <w:marBottom w:val="0"/>
      <w:divBdr>
        <w:top w:val="none" w:sz="0" w:space="0" w:color="auto"/>
        <w:left w:val="none" w:sz="0" w:space="0" w:color="auto"/>
        <w:bottom w:val="none" w:sz="0" w:space="0" w:color="auto"/>
        <w:right w:val="none" w:sz="0" w:space="0" w:color="auto"/>
      </w:divBdr>
    </w:div>
    <w:div w:id="1382364314">
      <w:bodyDiv w:val="1"/>
      <w:marLeft w:val="0"/>
      <w:marRight w:val="0"/>
      <w:marTop w:val="0"/>
      <w:marBottom w:val="0"/>
      <w:divBdr>
        <w:top w:val="none" w:sz="0" w:space="0" w:color="auto"/>
        <w:left w:val="none" w:sz="0" w:space="0" w:color="auto"/>
        <w:bottom w:val="none" w:sz="0" w:space="0" w:color="auto"/>
        <w:right w:val="none" w:sz="0" w:space="0" w:color="auto"/>
      </w:divBdr>
    </w:div>
    <w:div w:id="1424570482">
      <w:bodyDiv w:val="1"/>
      <w:marLeft w:val="0"/>
      <w:marRight w:val="0"/>
      <w:marTop w:val="0"/>
      <w:marBottom w:val="0"/>
      <w:divBdr>
        <w:top w:val="none" w:sz="0" w:space="0" w:color="auto"/>
        <w:left w:val="none" w:sz="0" w:space="0" w:color="auto"/>
        <w:bottom w:val="none" w:sz="0" w:space="0" w:color="auto"/>
        <w:right w:val="none" w:sz="0" w:space="0" w:color="auto"/>
      </w:divBdr>
    </w:div>
    <w:div w:id="1426147577">
      <w:bodyDiv w:val="1"/>
      <w:marLeft w:val="0"/>
      <w:marRight w:val="0"/>
      <w:marTop w:val="0"/>
      <w:marBottom w:val="0"/>
      <w:divBdr>
        <w:top w:val="none" w:sz="0" w:space="0" w:color="auto"/>
        <w:left w:val="none" w:sz="0" w:space="0" w:color="auto"/>
        <w:bottom w:val="none" w:sz="0" w:space="0" w:color="auto"/>
        <w:right w:val="none" w:sz="0" w:space="0" w:color="auto"/>
      </w:divBdr>
    </w:div>
    <w:div w:id="1441989058">
      <w:bodyDiv w:val="1"/>
      <w:marLeft w:val="0"/>
      <w:marRight w:val="0"/>
      <w:marTop w:val="0"/>
      <w:marBottom w:val="0"/>
      <w:divBdr>
        <w:top w:val="none" w:sz="0" w:space="0" w:color="auto"/>
        <w:left w:val="none" w:sz="0" w:space="0" w:color="auto"/>
        <w:bottom w:val="none" w:sz="0" w:space="0" w:color="auto"/>
        <w:right w:val="none" w:sz="0" w:space="0" w:color="auto"/>
      </w:divBdr>
    </w:div>
    <w:div w:id="1444496982">
      <w:bodyDiv w:val="1"/>
      <w:marLeft w:val="0"/>
      <w:marRight w:val="0"/>
      <w:marTop w:val="0"/>
      <w:marBottom w:val="0"/>
      <w:divBdr>
        <w:top w:val="none" w:sz="0" w:space="0" w:color="auto"/>
        <w:left w:val="none" w:sz="0" w:space="0" w:color="auto"/>
        <w:bottom w:val="none" w:sz="0" w:space="0" w:color="auto"/>
        <w:right w:val="none" w:sz="0" w:space="0" w:color="auto"/>
      </w:divBdr>
    </w:div>
    <w:div w:id="1532954231">
      <w:bodyDiv w:val="1"/>
      <w:marLeft w:val="0"/>
      <w:marRight w:val="0"/>
      <w:marTop w:val="0"/>
      <w:marBottom w:val="0"/>
      <w:divBdr>
        <w:top w:val="none" w:sz="0" w:space="0" w:color="auto"/>
        <w:left w:val="none" w:sz="0" w:space="0" w:color="auto"/>
        <w:bottom w:val="none" w:sz="0" w:space="0" w:color="auto"/>
        <w:right w:val="none" w:sz="0" w:space="0" w:color="auto"/>
      </w:divBdr>
    </w:div>
    <w:div w:id="1717587075">
      <w:bodyDiv w:val="1"/>
      <w:marLeft w:val="0"/>
      <w:marRight w:val="0"/>
      <w:marTop w:val="0"/>
      <w:marBottom w:val="0"/>
      <w:divBdr>
        <w:top w:val="none" w:sz="0" w:space="0" w:color="auto"/>
        <w:left w:val="none" w:sz="0" w:space="0" w:color="auto"/>
        <w:bottom w:val="none" w:sz="0" w:space="0" w:color="auto"/>
        <w:right w:val="none" w:sz="0" w:space="0" w:color="auto"/>
      </w:divBdr>
    </w:div>
    <w:div w:id="1787506374">
      <w:bodyDiv w:val="1"/>
      <w:marLeft w:val="0"/>
      <w:marRight w:val="0"/>
      <w:marTop w:val="0"/>
      <w:marBottom w:val="0"/>
      <w:divBdr>
        <w:top w:val="none" w:sz="0" w:space="0" w:color="auto"/>
        <w:left w:val="none" w:sz="0" w:space="0" w:color="auto"/>
        <w:bottom w:val="none" w:sz="0" w:space="0" w:color="auto"/>
        <w:right w:val="none" w:sz="0" w:space="0" w:color="auto"/>
      </w:divBdr>
    </w:div>
    <w:div w:id="1788502504">
      <w:bodyDiv w:val="1"/>
      <w:marLeft w:val="0"/>
      <w:marRight w:val="0"/>
      <w:marTop w:val="0"/>
      <w:marBottom w:val="0"/>
      <w:divBdr>
        <w:top w:val="none" w:sz="0" w:space="0" w:color="auto"/>
        <w:left w:val="none" w:sz="0" w:space="0" w:color="auto"/>
        <w:bottom w:val="none" w:sz="0" w:space="0" w:color="auto"/>
        <w:right w:val="none" w:sz="0" w:space="0" w:color="auto"/>
      </w:divBdr>
    </w:div>
    <w:div w:id="1848404731">
      <w:bodyDiv w:val="1"/>
      <w:marLeft w:val="0"/>
      <w:marRight w:val="0"/>
      <w:marTop w:val="0"/>
      <w:marBottom w:val="0"/>
      <w:divBdr>
        <w:top w:val="none" w:sz="0" w:space="0" w:color="auto"/>
        <w:left w:val="none" w:sz="0" w:space="0" w:color="auto"/>
        <w:bottom w:val="none" w:sz="0" w:space="0" w:color="auto"/>
        <w:right w:val="none" w:sz="0" w:space="0" w:color="auto"/>
      </w:divBdr>
    </w:div>
    <w:div w:id="1910573259">
      <w:bodyDiv w:val="1"/>
      <w:marLeft w:val="0"/>
      <w:marRight w:val="0"/>
      <w:marTop w:val="0"/>
      <w:marBottom w:val="0"/>
      <w:divBdr>
        <w:top w:val="none" w:sz="0" w:space="0" w:color="auto"/>
        <w:left w:val="none" w:sz="0" w:space="0" w:color="auto"/>
        <w:bottom w:val="none" w:sz="0" w:space="0" w:color="auto"/>
        <w:right w:val="none" w:sz="0" w:space="0" w:color="auto"/>
      </w:divBdr>
    </w:div>
    <w:div w:id="1912538623">
      <w:bodyDiv w:val="1"/>
      <w:marLeft w:val="0"/>
      <w:marRight w:val="0"/>
      <w:marTop w:val="0"/>
      <w:marBottom w:val="0"/>
      <w:divBdr>
        <w:top w:val="none" w:sz="0" w:space="0" w:color="auto"/>
        <w:left w:val="none" w:sz="0" w:space="0" w:color="auto"/>
        <w:bottom w:val="none" w:sz="0" w:space="0" w:color="auto"/>
        <w:right w:val="none" w:sz="0" w:space="0" w:color="auto"/>
      </w:divBdr>
    </w:div>
    <w:div w:id="2056810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http://ejournal.unitomo.ac.id/index.php/jh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7EF81-B971-465F-95F5-DD3D4280C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6334</Words>
  <Characters>36104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gddj</Company>
  <LinksUpToDate>false</LinksUpToDate>
  <CharactersWithSpaces>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 LISTIANA</dc:creator>
  <cp:lastModifiedBy>Neo Energi</cp:lastModifiedBy>
  <cp:revision>6</cp:revision>
  <cp:lastPrinted>2026-05-05T09:46:00Z</cp:lastPrinted>
  <dcterms:created xsi:type="dcterms:W3CDTF">2026-06-26T08:44:00Z</dcterms:created>
  <dcterms:modified xsi:type="dcterms:W3CDTF">2026-06-29T10:10:00Z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ZOTERO_PREF_1">
    <vt:lpwstr>&lt;data data-version="3" zotero-version="5.0.9"&gt;&lt;session id="6Ql4aRIg"/&gt;&lt;style id="http://www.zotero.org/styles/ieee" locale="id-ID" hasBibliography="1" bibliographyStyleHasBeenSet="1"/&gt;&lt;prefs&gt;&lt;pref name="fieldType" value="Field"/&gt;&lt;pref name="automaticJourn</vt:lpwstr>
  </property>
  <property fmtid="{D5CDD505-2E9C-101B-9397-08002B2CF9AE}" pid="9" name="ZOTERO_PREF_2">
    <vt:lpwstr>alAbbreviations" value="true"/&gt;&lt;pref name="noteType" value="0"/&gt;&lt;/prefs&gt;&lt;/data&gt;</vt:lpwstr>
  </property>
  <property fmtid="{D5CDD505-2E9C-101B-9397-08002B2CF9AE}" pid="10" name="Mendeley Recent Style Id 0_1">
    <vt:lpwstr>http://www.zotero.org/styles/american-medical-association</vt:lpwstr>
  </property>
  <property fmtid="{D5CDD505-2E9C-101B-9397-08002B2CF9AE}" pid="11" name="Mendeley Recent Style Name 0_1">
    <vt:lpwstr>American Medical Association 11th edition</vt:lpwstr>
  </property>
  <property fmtid="{D5CDD505-2E9C-101B-9397-08002B2CF9AE}" pid="12" name="Mendeley Recent Style Id 1_1">
    <vt:lpwstr>http://www.zotero.org/styles/american-political-science-association</vt:lpwstr>
  </property>
  <property fmtid="{D5CDD505-2E9C-101B-9397-08002B2CF9AE}" pid="13" name="Mendeley Recent Style Name 1_1">
    <vt:lpwstr>American Political Science Association</vt:lpwstr>
  </property>
  <property fmtid="{D5CDD505-2E9C-101B-9397-08002B2CF9AE}" pid="14" name="Mendeley Recent Style Id 2_1">
    <vt:lpwstr>http://www.zotero.org/styles/american-sociological-association</vt:lpwstr>
  </property>
  <property fmtid="{D5CDD505-2E9C-101B-9397-08002B2CF9AE}" pid="15" name="Mendeley Recent Style Name 2_1">
    <vt:lpwstr>American Sociological Association 6th/7th edition</vt:lpwstr>
  </property>
  <property fmtid="{D5CDD505-2E9C-101B-9397-08002B2CF9AE}" pid="16" name="Mendeley Recent Style Id 3_1">
    <vt:lpwstr>http://www.zotero.org/styles/chicago-author-date</vt:lpwstr>
  </property>
  <property fmtid="{D5CDD505-2E9C-101B-9397-08002B2CF9AE}" pid="17" name="Mendeley Recent Style Name 3_1">
    <vt:lpwstr>Chicago Manual of Style 18th edition (author-date)</vt:lpwstr>
  </property>
  <property fmtid="{D5CDD505-2E9C-101B-9397-08002B2CF9AE}" pid="18" name="Mendeley Recent Style Id 4_1">
    <vt:lpwstr>http://www.zotero.org/styles/harvard-cite-them-right</vt:lpwstr>
  </property>
  <property fmtid="{D5CDD505-2E9C-101B-9397-08002B2CF9AE}" pid="19" name="Mendeley Recent Style Name 4_1">
    <vt:lpwstr>Cite Them Right 12th edition - Harvard</vt:lpwstr>
  </property>
  <property fmtid="{D5CDD505-2E9C-101B-9397-08002B2CF9AE}" pid="20" name="Mendeley Recent Style Id 5_1">
    <vt:lpwstr>http://www.zotero.org/styles/harvard1</vt:lpwstr>
  </property>
  <property fmtid="{D5CDD505-2E9C-101B-9397-08002B2CF9AE}" pid="21" name="Mendeley Recent Style Name 5_1">
    <vt:lpwstr>Harvard reference format 1 (deprecated)</vt:lpwstr>
  </property>
  <property fmtid="{D5CDD505-2E9C-101B-9397-08002B2CF9AE}" pid="22" name="Mendeley Recent Style Id 6_1">
    <vt:lpwstr>http://www.zotero.org/styles/ieee</vt:lpwstr>
  </property>
  <property fmtid="{D5CDD505-2E9C-101B-9397-08002B2CF9AE}" pid="23" name="Mendeley Recent Style Name 6_1">
    <vt:lpwstr>IEEE</vt:lpwstr>
  </property>
  <property fmtid="{D5CDD505-2E9C-101B-9397-08002B2CF9AE}" pid="24" name="Mendeley Recent Style Id 7_1">
    <vt:lpwstr>http://www.zotero.org/styles/modern-humanities-research-association</vt:lpwstr>
  </property>
  <property fmtid="{D5CDD505-2E9C-101B-9397-08002B2CF9AE}" pid="25" name="Mendeley Recent Style Name 7_1">
    <vt:lpwstr>Modern Humanities Research Association 3rd edition (note with bibliography)</vt:lpwstr>
  </property>
  <property fmtid="{D5CDD505-2E9C-101B-9397-08002B2CF9AE}" pid="26" name="Mendeley Recent Style Id 8_1">
    <vt:lpwstr>http://www.zotero.org/styles/modern-language-association</vt:lpwstr>
  </property>
  <property fmtid="{D5CDD505-2E9C-101B-9397-08002B2CF9AE}" pid="27" name="Mendeley Recent Style Name 8_1">
    <vt:lpwstr>Modern Language Association 9th edition (in-text citations)</vt:lpwstr>
  </property>
  <property fmtid="{D5CDD505-2E9C-101B-9397-08002B2CF9AE}" pid="28" name="Mendeley Recent Style Id 9_1">
    <vt:lpwstr>http://www.zotero.org/styles/nature</vt:lpwstr>
  </property>
  <property fmtid="{D5CDD505-2E9C-101B-9397-08002B2CF9AE}" pid="29" name="Mendeley Recent Style Name 9_1">
    <vt:lpwstr>Nature</vt:lpwstr>
  </property>
  <property fmtid="{D5CDD505-2E9C-101B-9397-08002B2CF9AE}" pid="30" name="Mendeley Document_1">
    <vt:lpwstr>True</vt:lpwstr>
  </property>
  <property fmtid="{D5CDD505-2E9C-101B-9397-08002B2CF9AE}" pid="31" name="Mendeley Unique User Id_1">
    <vt:lpwstr>e25b3996-5b8a-3dad-9bc4-0ab85ebba23f</vt:lpwstr>
  </property>
  <property fmtid="{D5CDD505-2E9C-101B-9397-08002B2CF9AE}" pid="32" name="Mendeley Citation Style_1">
    <vt:lpwstr>http://www.zotero.org/styles/ieee</vt:lpwstr>
  </property>
</Properties>
</file>